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800"/>
      </w:pPr>
    </w:p>
    <w:p>
      <w:pPr>
        <w:pBdr>
          <w:bottom w:val="single" w:color="1F5A75" w:sz="6" w:space="0"/>
        </w:pBdr>
        <w:spacing w:after="240"/>
      </w:pPr>
    </w:p>
    <w:p>
      <w:pPr>
        <w:spacing w:after="100" w:line="252"/>
      </w:pPr>
      <w:r>
        <w:rPr>
          <w:rFonts w:ascii="Aptos Display" w:cs="Aptos Display" w:eastAsia="Aptos Display" w:hAnsi="Aptos Display"/>
          <w:b/>
          <w:bCs/>
          <w:i w:val="false"/>
          <w:iCs w:val="false"/>
          <w:caps w:val="false"/>
          <w:color w:val="1F2933"/>
          <w:sz w:val="48"/>
          <w:szCs w:val="48"/>
        </w:rPr>
        <w:t xml:space="preserve">Análisis Clínico de Evidencia</w:t>
      </w:r>
    </w:p>
    <w:p>
      <w:pPr>
        <w:spacing w:after="180" w:line="288"/>
      </w:pPr>
      <w:r>
        <w:rPr>
          <w:rFonts w:ascii="Aptos" w:cs="Aptos" w:eastAsia="Aptos" w:hAnsi="Aptos"/>
          <w:b w:val="false"/>
          <w:bCs w:val="false"/>
          <w:i w:val="false"/>
          <w:iCs w:val="false"/>
          <w:caps w:val="false"/>
          <w:color w:val="5B6B79"/>
          <w:sz w:val="22"/>
          <w:szCs w:val="22"/>
        </w:rPr>
        <w:t xml:space="preserve">Microtornillos en Ortodoncia — Enero 2025 a Abril 2026</w:t>
      </w:r>
    </w:p>
    <w:p>
      <w:pPr>
        <w:pBdr>
          <w:bottom w:val="single" w:color="E6EDF1" w:sz="2" w:space="0"/>
        </w:pBdr>
        <w:spacing w:after="500"/>
      </w:pPr>
    </w:p>
    <w:p>
      <w:pPr>
        <w:spacing w:after="30" w:line="317"/>
      </w:pPr>
      <w:r>
        <w:rPr>
          <w:rFonts w:ascii="Aptos" w:cs="Aptos" w:eastAsia="Aptos" w:hAnsi="Aptos"/>
          <w:b w:val="false"/>
          <w:bCs w:val="false"/>
          <w:i w:val="false"/>
          <w:iCs w:val="false"/>
          <w:caps w:val="false"/>
          <w:color w:val="8A9BAE"/>
          <w:sz w:val="18"/>
          <w:szCs w:val="18"/>
        </w:rPr>
        <w:t xml:space="preserve">Análisis automatizado con playbook clínico v3.0</w:t>
      </w:r>
    </w:p>
    <w:p>
      <w:pPr>
        <w:spacing w:after="30" w:line="317"/>
      </w:pPr>
      <w:r>
        <w:rPr>
          <w:rFonts w:ascii="Aptos" w:cs="Aptos" w:eastAsia="Aptos" w:hAnsi="Aptos"/>
          <w:b w:val="false"/>
          <w:bCs w:val="false"/>
          <w:i w:val="false"/>
          <w:iCs w:val="false"/>
          <w:caps w:val="false"/>
          <w:color w:val="8A9BAE"/>
          <w:sz w:val="18"/>
          <w:szCs w:val="18"/>
        </w:rPr>
        <w:t xml:space="preserve">12 de abril de 2026</w:t>
      </w:r>
    </w:p>
    <w:p>
      <w:pPr>
        <w:spacing w:after="30" w:line="317"/>
      </w:pPr>
      <w:r>
        <w:rPr>
          <w:rFonts w:ascii="Aptos" w:cs="Aptos" w:eastAsia="Aptos" w:hAnsi="Aptos"/>
          <w:b w:val="false"/>
          <w:bCs w:val="false"/>
          <w:i w:val="false"/>
          <w:iCs w:val="false"/>
          <w:caps w:val="false"/>
          <w:color w:val="8A9BAE"/>
          <w:sz w:val="18"/>
          <w:szCs w:val="18"/>
        </w:rPr>
        <w:t xml:space="preserve">20 artículos analizados</w:t>
      </w:r>
    </w:p>
    <w:p>
      <w:pPr>
        <w:spacing w:after="30" w:line="317"/>
      </w:pPr>
      <w:r>
        <w:rPr>
          <w:rFonts w:ascii="Aptos" w:cs="Aptos" w:eastAsia="Aptos" w:hAnsi="Aptos"/>
          <w:b w:val="false"/>
          <w:bCs w:val="false"/>
          <w:i w:val="false"/>
          <w:iCs w:val="false"/>
          <w:caps w:val="false"/>
          <w:color w:val="8A9BAE"/>
          <w:sz w:val="18"/>
          <w:szCs w:val="18"/>
        </w:rPr>
        <w:t xml:space="preserve">Enero 2025 – Abril 2026</w:t>
      </w:r>
    </w:p>
    <w:p>
      <w:r>
        <w:br w:type="page"/>
      </w:r>
    </w:p>
    <w:p>
      <w:pPr>
        <w:spacing w:before="600"/>
      </w:pPr>
    </w:p>
    <w:p>
      <w:pPr>
        <w:spacing w:after="60" w:line="276"/>
      </w:pPr>
      <w:r>
        <w:rPr>
          <w:rFonts w:ascii="Aptos" w:cs="Aptos" w:eastAsia="Aptos" w:hAnsi="Aptos"/>
          <w:b/>
          <w:bCs/>
          <w:i w:val="false"/>
          <w:iCs w:val="false"/>
          <w:caps/>
          <w:color w:val="1F5A75"/>
          <w:sz w:val="18"/>
          <w:szCs w:val="18"/>
        </w:rPr>
        <w:t xml:space="preserve">CONTENIDOS</w:t>
      </w:r>
    </w:p>
    <w:p>
      <w:pPr>
        <w:pBdr>
          <w:bottom w:val="single" w:color="E6EDF1" w:sz="3" w:space="8"/>
        </w:pBdr>
        <w:spacing w:after="350" w:line="252"/>
      </w:pPr>
      <w:r>
        <w:rPr>
          <w:rFonts w:ascii="Aptos Display" w:cs="Aptos Display" w:eastAsia="Aptos Display" w:hAnsi="Aptos Display"/>
          <w:b/>
          <w:bCs/>
          <w:i w:val="false"/>
          <w:iCs w:val="false"/>
          <w:caps w:val="false"/>
          <w:color w:val="1F2933"/>
          <w:sz w:val="38"/>
          <w:szCs w:val="38"/>
        </w:rPr>
        <w:t xml:space="preserve">Tabla de contenidos</w:t>
      </w:r>
    </w:p>
    <w:p>
      <w:pPr>
        <w:spacing w:after="120" w:line="317"/>
        <w:ind w:left="0"/>
      </w:pPr>
      <w:r>
        <w:rPr>
          <w:rFonts w:ascii="Aptos" w:cs="Aptos" w:eastAsia="Aptos" w:hAnsi="Aptos"/>
          <w:b/>
          <w:bCs/>
          <w:i w:val="false"/>
          <w:iCs w:val="false"/>
          <w:caps w:val="false"/>
          <w:color w:val="1F5A75"/>
          <w:sz w:val="21"/>
          <w:szCs w:val="21"/>
        </w:rPr>
        <w:t xml:space="preserve">01</w:t>
      </w:r>
      <w:r>
        <w:rPr>
          <w:rFonts w:ascii="Aptos" w:cs="Aptos" w:eastAsia="Aptos" w:hAnsi="Aptos"/>
          <w:b w:val="false"/>
          <w:bCs w:val="false"/>
          <w:i w:val="false"/>
          <w:iCs w:val="false"/>
          <w:caps w:val="false"/>
          <w:color w:val="1F2933"/>
          <w:sz w:val="21"/>
          <w:szCs w:val="21"/>
        </w:rPr>
        <w:t xml:space="preserve">    Resumen Ejecutivo</w:t>
      </w:r>
    </w:p>
    <w:p>
      <w:pPr>
        <w:spacing w:after="120" w:line="317"/>
        <w:ind w:left="0"/>
      </w:pPr>
      <w:r>
        <w:rPr>
          <w:rFonts w:ascii="Aptos" w:cs="Aptos" w:eastAsia="Aptos" w:hAnsi="Aptos"/>
          <w:b/>
          <w:bCs/>
          <w:i w:val="false"/>
          <w:iCs w:val="false"/>
          <w:caps w:val="false"/>
          <w:color w:val="1F5A75"/>
          <w:sz w:val="21"/>
          <w:szCs w:val="21"/>
        </w:rPr>
        <w:t xml:space="preserve">02</w:t>
      </w:r>
      <w:r>
        <w:rPr>
          <w:rFonts w:ascii="Aptos" w:cs="Aptos" w:eastAsia="Aptos" w:hAnsi="Aptos"/>
          <w:b w:val="false"/>
          <w:bCs w:val="false"/>
          <w:i w:val="false"/>
          <w:iCs w:val="false"/>
          <w:caps w:val="false"/>
          <w:color w:val="1F2933"/>
          <w:sz w:val="21"/>
          <w:szCs w:val="21"/>
        </w:rPr>
        <w:t xml:space="preserve">    Panorama General</w:t>
      </w:r>
    </w:p>
    <w:p>
      <w:pPr>
        <w:spacing w:after="80" w:line="317"/>
        <w:ind w:left="360"/>
      </w:pPr>
      <w:r>
        <w:rPr>
          <w:rFonts w:ascii="Aptos" w:cs="Aptos" w:eastAsia="Aptos" w:hAnsi="Aptos"/>
          <w:b/>
          <w:bCs/>
          <w:i w:val="false"/>
          <w:iCs w:val="false"/>
          <w:caps w:val="false"/>
          <w:color w:val="1F5A75"/>
          <w:sz w:val="21"/>
          <w:szCs w:val="21"/>
        </w:rPr>
        <w:t xml:space="preserve">03</w:t>
      </w:r>
      <w:r>
        <w:rPr>
          <w:rFonts w:ascii="Aptos" w:cs="Aptos" w:eastAsia="Aptos" w:hAnsi="Aptos"/>
          <w:b w:val="false"/>
          <w:bCs w:val="false"/>
          <w:i w:val="false"/>
          <w:iCs w:val="false"/>
          <w:caps w:val="false"/>
          <w:color w:val="5B6B79"/>
          <w:sz w:val="21"/>
          <w:szCs w:val="21"/>
        </w:rPr>
        <w:t xml:space="preserve">    Tecnología de Colocación Guiada</w:t>
      </w:r>
    </w:p>
    <w:p>
      <w:pPr>
        <w:spacing w:after="80" w:line="317"/>
        <w:ind w:left="360"/>
      </w:pPr>
      <w:r>
        <w:rPr>
          <w:rFonts w:ascii="Aptos" w:cs="Aptos" w:eastAsia="Aptos" w:hAnsi="Aptos"/>
          <w:b/>
          <w:bCs/>
          <w:i w:val="false"/>
          <w:iCs w:val="false"/>
          <w:caps w:val="false"/>
          <w:color w:val="1F5A75"/>
          <w:sz w:val="21"/>
          <w:szCs w:val="21"/>
        </w:rPr>
        <w:t xml:space="preserve">04</w:t>
      </w:r>
      <w:r>
        <w:rPr>
          <w:rFonts w:ascii="Aptos" w:cs="Aptos" w:eastAsia="Aptos" w:hAnsi="Aptos"/>
          <w:b w:val="false"/>
          <w:bCs w:val="false"/>
          <w:i w:val="false"/>
          <w:iCs w:val="false"/>
          <w:caps w:val="false"/>
          <w:color w:val="5B6B79"/>
          <w:sz w:val="21"/>
          <w:szCs w:val="21"/>
        </w:rPr>
        <w:t xml:space="preserve">    Anatomía CBCT de Sitios de Inserción</w:t>
      </w:r>
    </w:p>
    <w:p>
      <w:pPr>
        <w:spacing w:after="80" w:line="317"/>
        <w:ind w:left="360"/>
      </w:pPr>
      <w:r>
        <w:rPr>
          <w:rFonts w:ascii="Aptos" w:cs="Aptos" w:eastAsia="Aptos" w:hAnsi="Aptos"/>
          <w:b/>
          <w:bCs/>
          <w:i w:val="false"/>
          <w:iCs w:val="false"/>
          <w:caps w:val="false"/>
          <w:color w:val="1F5A75"/>
          <w:sz w:val="21"/>
          <w:szCs w:val="21"/>
        </w:rPr>
        <w:t xml:space="preserve">05</w:t>
      </w:r>
      <w:r>
        <w:rPr>
          <w:rFonts w:ascii="Aptos" w:cs="Aptos" w:eastAsia="Aptos" w:hAnsi="Aptos"/>
          <w:b w:val="false"/>
          <w:bCs w:val="false"/>
          <w:i w:val="false"/>
          <w:iCs w:val="false"/>
          <w:caps w:val="false"/>
          <w:color w:val="5B6B79"/>
          <w:sz w:val="21"/>
          <w:szCs w:val="21"/>
        </w:rPr>
        <w:t xml:space="preserve">    Biomecánica Computacional (FEA)</w:t>
      </w:r>
    </w:p>
    <w:p>
      <w:pPr>
        <w:spacing w:after="80" w:line="317"/>
        <w:ind w:left="360"/>
      </w:pPr>
      <w:r>
        <w:rPr>
          <w:rFonts w:ascii="Aptos" w:cs="Aptos" w:eastAsia="Aptos" w:hAnsi="Aptos"/>
          <w:b/>
          <w:bCs/>
          <w:i w:val="false"/>
          <w:iCs w:val="false"/>
          <w:caps w:val="false"/>
          <w:color w:val="1F5A75"/>
          <w:sz w:val="21"/>
          <w:szCs w:val="21"/>
        </w:rPr>
        <w:t xml:space="preserve">06</w:t>
      </w:r>
      <w:r>
        <w:rPr>
          <w:rFonts w:ascii="Aptos" w:cs="Aptos" w:eastAsia="Aptos" w:hAnsi="Aptos"/>
          <w:b w:val="false"/>
          <w:bCs w:val="false"/>
          <w:i w:val="false"/>
          <w:iCs w:val="false"/>
          <w:caps w:val="false"/>
          <w:color w:val="5B6B79"/>
          <w:sz w:val="21"/>
          <w:szCs w:val="21"/>
        </w:rPr>
        <w:t xml:space="preserve">    Aplicaciones Clínicas — Versatilidad</w:t>
      </w:r>
    </w:p>
    <w:p>
      <w:pPr>
        <w:spacing w:after="80" w:line="317"/>
        <w:ind w:left="360"/>
      </w:pPr>
      <w:r>
        <w:rPr>
          <w:rFonts w:ascii="Aptos" w:cs="Aptos" w:eastAsia="Aptos" w:hAnsi="Aptos"/>
          <w:b/>
          <w:bCs/>
          <w:i w:val="false"/>
          <w:iCs w:val="false"/>
          <w:caps w:val="false"/>
          <w:color w:val="1F5A75"/>
          <w:sz w:val="21"/>
          <w:szCs w:val="21"/>
        </w:rPr>
        <w:t xml:space="preserve">07</w:t>
      </w:r>
      <w:r>
        <w:rPr>
          <w:rFonts w:ascii="Aptos" w:cs="Aptos" w:eastAsia="Aptos" w:hAnsi="Aptos"/>
          <w:b w:val="false"/>
          <w:bCs w:val="false"/>
          <w:i w:val="false"/>
          <w:iCs w:val="false"/>
          <w:caps w:val="false"/>
          <w:color w:val="5B6B79"/>
          <w:sz w:val="21"/>
          <w:szCs w:val="21"/>
        </w:rPr>
        <w:t xml:space="preserve">    MARPE — Expansión Palatina con Miniscrews</w:t>
      </w:r>
    </w:p>
    <w:p>
      <w:pPr>
        <w:spacing w:after="80" w:line="317"/>
        <w:ind w:left="360"/>
      </w:pPr>
      <w:r>
        <w:rPr>
          <w:rFonts w:ascii="Aptos" w:cs="Aptos" w:eastAsia="Aptos" w:hAnsi="Aptos"/>
          <w:b/>
          <w:bCs/>
          <w:i w:val="false"/>
          <w:iCs w:val="false"/>
          <w:caps w:val="false"/>
          <w:color w:val="1F5A75"/>
          <w:sz w:val="21"/>
          <w:szCs w:val="21"/>
        </w:rPr>
        <w:t xml:space="preserve">08</w:t>
      </w:r>
      <w:r>
        <w:rPr>
          <w:rFonts w:ascii="Aptos" w:cs="Aptos" w:eastAsia="Aptos" w:hAnsi="Aptos"/>
          <w:b w:val="false"/>
          <w:bCs w:val="false"/>
          <w:i w:val="false"/>
          <w:iCs w:val="false"/>
          <w:caps w:val="false"/>
          <w:color w:val="5B6B79"/>
          <w:sz w:val="21"/>
          <w:szCs w:val="21"/>
        </w:rPr>
        <w:t xml:space="preserve">    Ensayos Clínicos — Movimientos Específicos</w:t>
      </w:r>
    </w:p>
    <w:p>
      <w:pPr>
        <w:spacing w:after="120" w:line="317"/>
        <w:ind w:left="0"/>
      </w:pPr>
      <w:r>
        <w:rPr>
          <w:rFonts w:ascii="Aptos" w:cs="Aptos" w:eastAsia="Aptos" w:hAnsi="Aptos"/>
          <w:b/>
          <w:bCs/>
          <w:i w:val="false"/>
          <w:iCs w:val="false"/>
          <w:caps w:val="false"/>
          <w:color w:val="1F5A75"/>
          <w:sz w:val="21"/>
          <w:szCs w:val="21"/>
        </w:rPr>
        <w:t xml:space="preserve">09</w:t>
      </w:r>
      <w:r>
        <w:rPr>
          <w:rFonts w:ascii="Aptos" w:cs="Aptos" w:eastAsia="Aptos" w:hAnsi="Aptos"/>
          <w:b w:val="false"/>
          <w:bCs w:val="false"/>
          <w:i w:val="false"/>
          <w:iCs w:val="false"/>
          <w:caps w:val="false"/>
          <w:color w:val="1F2933"/>
          <w:sz w:val="21"/>
          <w:szCs w:val="21"/>
        </w:rPr>
        <w:t xml:space="preserve">    Conclusiones Globales</w:t>
      </w:r>
    </w:p>
    <w:p>
      <w:r>
        <w:br w:type="page"/>
      </w:r>
    </w:p>
    <w:p>
      <w:pPr>
        <w:spacing w:before="1200"/>
      </w:pPr>
    </w:p>
    <w:p>
      <w:pPr>
        <w:spacing w:after="60" w:line="276"/>
      </w:pPr>
      <w:r>
        <w:rPr>
          <w:rFonts w:ascii="Aptos" w:cs="Aptos" w:eastAsia="Aptos" w:hAnsi="Aptos"/>
          <w:b/>
          <w:bCs/>
          <w:i w:val="false"/>
          <w:iCs w:val="false"/>
          <w:caps/>
          <w:color w:val="1F5A75"/>
          <w:sz w:val="18"/>
          <w:szCs w:val="18"/>
        </w:rPr>
        <w:t xml:space="preserve">RESUMEN EJECUTIVO</w:t>
      </w:r>
    </w:p>
    <w:p>
      <w:pPr>
        <w:pBdr>
          <w:bottom w:val="single" w:color="1F5A75" w:sz="6" w:space="0"/>
        </w:pBdr>
        <w:spacing w:after="200"/>
      </w:pPr>
    </w:p>
    <w:p>
      <w:pPr>
        <w:spacing w:after="300" w:line="312"/>
      </w:pPr>
      <w:r>
        <w:rPr>
          <w:rFonts w:ascii="Aptos" w:cs="Aptos" w:eastAsia="Aptos" w:hAnsi="Aptos"/>
          <w:b w:val="false"/>
          <w:bCs w:val="false"/>
          <w:i/>
          <w:iCs/>
          <w:caps w:val="false"/>
          <w:color w:val="5B6B79"/>
          <w:sz w:val="21"/>
          <w:szCs w:val="21"/>
        </w:rPr>
        <w:t xml:space="preserve">Síntesis de los hallazgos principales para la toma de decisiones clínicas.</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1. Guías 3D para TAD en buccal shelf: precisión superior y mayor seguridad vs inserción manual (ECA, n=40 TADs). Recomendable en zonas de riesgo anatómico.</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2. CBCT obligatorio antes de miniscrews palatinos en constricción maxilar: riesgo real sobre conducto nasopalatino sin imagen 3D (estudio experimental, n=60).</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3. Anatomía del buccal shelf varía con edad (adultos &gt; adolescentes) y clase esquelética (III &gt; I y II): planificación CBCT individualizada necesaria.</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4. MARPE eficaz en adultos jóvenes para corrección transversal; éxito cae significativamente &gt;30 años.</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5. Complicaciones periodontales del MARPE frecuentes (tipping, pérdida ósea, dehiscencia): monitoreo CBCT + periodontal obligatorio.</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6. MARPE NO indicado exclusivamente para vía aérea — evidencia insuficiente (certeza baja a muy baja).</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7. MSE (4 miniscrews) superior a FAVEX (6) en resultados esqueléticos y menos tipping dental (ECA, n=28).</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8. MOP mensual con miniscrews acelera cierre de espacio en ~0,9mm/3 meses (ECA pequeño; efecto modesto).</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9. MAMP ventajoso sobre anclaje dentario en Clase III en crecimiento (RS con GRADE, 6 ECA; certeza moderada-baja).</w:t>
      </w:r>
    </w:p>
    <w:p>
      <w:pPr>
        <w:pStyle w:val="ListParagraph"/>
        <w:numPr>
          <w:ilvl w:val="0"/>
          <w:numId w:val="2"/>
        </w:numPr>
        <w:spacing w:after="100" w:line="317"/>
      </w:pPr>
      <w:r>
        <w:rPr>
          <w:rFonts w:ascii="Aptos" w:cs="Aptos" w:eastAsia="Aptos" w:hAnsi="Aptos"/>
          <w:b w:val="false"/>
          <w:bCs w:val="false"/>
          <w:i w:val="false"/>
          <w:iCs w:val="false"/>
          <w:caps w:val="false"/>
          <w:color w:val="1F2933"/>
          <w:sz w:val="21"/>
          <w:szCs w:val="21"/>
        </w:rPr>
        <w:t xml:space="preserve">10. Nivel de evidencia global: bajo a moderado. Muestras pequeñas y seguimiento corto son la norma. Ningún hallazgo individual justifica cambios radicales de práctica sin replicación.</w:t>
      </w:r>
    </w:p>
    <w:p>
      <w:pPr>
        <w:spacing w:before="200"/>
      </w:pP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0D7C5F"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Guías 3D para TAD en zonas de riesgo</w:t>
            </w:r>
          </w:p>
          <w:p>
            <w:pPr>
              <w:spacing w:after="0" w:line="317"/>
            </w:pPr>
            <w:r>
              <w:rPr>
                <w:rFonts w:ascii="Aptos" w:cs="Aptos" w:eastAsia="Aptos" w:hAnsi="Aptos"/>
                <w:b/>
                <w:bCs/>
                <w:color w:val="0D7C5F"/>
                <w:sz w:val="24"/>
                <w:szCs w:val="24"/>
              </w:rPr>
              <w:t xml:space="preserve">● </w:t>
            </w:r>
            <w:r>
              <w:rPr>
                <w:rFonts w:ascii="Aptos" w:cs="Aptos" w:eastAsia="Aptos" w:hAnsi="Aptos"/>
                <w:b/>
                <w:bCs/>
                <w:i w:val="false"/>
                <w:iCs w:val="false"/>
                <w:caps w:val="false"/>
                <w:color w:val="0D7C5F"/>
                <w:sz w:val="21"/>
                <w:szCs w:val="21"/>
              </w:rPr>
              <w:t xml:space="preserve">VERDE</w:t>
            </w:r>
            <w:r>
              <w:rPr>
                <w:rFonts w:ascii="Aptos" w:cs="Aptos" w:eastAsia="Aptos" w:hAnsi="Aptos"/>
                <w:b w:val="false"/>
                <w:bCs w:val="false"/>
                <w:i w:val="false"/>
                <w:iCs w:val="false"/>
                <w:caps w:val="false"/>
                <w:color w:val="5B6B79"/>
                <w:sz w:val="21"/>
                <w:szCs w:val="21"/>
              </w:rPr>
              <w:t xml:space="preserve">  —  Recomendable si se dispone de CBCT + impresión 3D.</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0D7C5F"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CBCT previo a miniscrews palatinos en constricción</w:t>
            </w:r>
          </w:p>
          <w:p>
            <w:pPr>
              <w:spacing w:after="0" w:line="317"/>
            </w:pPr>
            <w:r>
              <w:rPr>
                <w:rFonts w:ascii="Aptos" w:cs="Aptos" w:eastAsia="Aptos" w:hAnsi="Aptos"/>
                <w:b/>
                <w:bCs/>
                <w:color w:val="0D7C5F"/>
                <w:sz w:val="24"/>
                <w:szCs w:val="24"/>
              </w:rPr>
              <w:t xml:space="preserve">● </w:t>
            </w:r>
            <w:r>
              <w:rPr>
                <w:rFonts w:ascii="Aptos" w:cs="Aptos" w:eastAsia="Aptos" w:hAnsi="Aptos"/>
                <w:b/>
                <w:bCs/>
                <w:i w:val="false"/>
                <w:iCs w:val="false"/>
                <w:caps w:val="false"/>
                <w:color w:val="0D7C5F"/>
                <w:sz w:val="21"/>
                <w:szCs w:val="21"/>
              </w:rPr>
              <w:t xml:space="preserve">VERDE</w:t>
            </w:r>
            <w:r>
              <w:rPr>
                <w:rFonts w:ascii="Aptos" w:cs="Aptos" w:eastAsia="Aptos" w:hAnsi="Aptos"/>
                <w:b w:val="false"/>
                <w:bCs w:val="false"/>
                <w:i w:val="false"/>
                <w:iCs w:val="false"/>
                <w:caps w:val="false"/>
                <w:color w:val="5B6B79"/>
                <w:sz w:val="21"/>
                <w:szCs w:val="21"/>
              </w:rPr>
              <w:t xml:space="preserve">  —  Obligatorio. No insertar sin imagen 3D.</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MARPE en adultos jóvenes (&lt;30 años)</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Eficaz con monitoreo periodontal activo.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02424"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MARPE &gt;30 años</w:t>
            </w:r>
          </w:p>
          <w:p>
            <w:pPr>
              <w:spacing w:after="0" w:line="317"/>
            </w:pPr>
            <w:r>
              <w:rPr>
                <w:rFonts w:ascii="Aptos" w:cs="Aptos" w:eastAsia="Aptos" w:hAnsi="Aptos"/>
                <w:b/>
                <w:bCs/>
                <w:color w:val="C02424"/>
                <w:sz w:val="24"/>
                <w:szCs w:val="24"/>
              </w:rPr>
              <w:t xml:space="preserve">● </w:t>
            </w:r>
            <w:r>
              <w:rPr>
                <w:rFonts w:ascii="Aptos" w:cs="Aptos" w:eastAsia="Aptos" w:hAnsi="Aptos"/>
                <w:b/>
                <w:bCs/>
                <w:i w:val="false"/>
                <w:iCs w:val="false"/>
                <w:caps w:val="false"/>
                <w:color w:val="C02424"/>
                <w:sz w:val="21"/>
                <w:szCs w:val="21"/>
              </w:rPr>
              <w:t xml:space="preserve">ROJO</w:t>
            </w:r>
            <w:r>
              <w:rPr>
                <w:rFonts w:ascii="Aptos" w:cs="Aptos" w:eastAsia="Aptos" w:hAnsi="Aptos"/>
                <w:b w:val="false"/>
                <w:bCs w:val="false"/>
                <w:i w:val="false"/>
                <w:iCs w:val="false"/>
                <w:caps w:val="false"/>
                <w:color w:val="5B6B79"/>
                <w:sz w:val="21"/>
                <w:szCs w:val="21"/>
              </w:rPr>
              <w:t xml:space="preserve">  —  Éxito incierto. Valorar alternativas.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02424"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MARPE para mejorar vía aérea</w:t>
            </w:r>
          </w:p>
          <w:p>
            <w:pPr>
              <w:spacing w:after="0" w:line="317"/>
            </w:pPr>
            <w:r>
              <w:rPr>
                <w:rFonts w:ascii="Aptos" w:cs="Aptos" w:eastAsia="Aptos" w:hAnsi="Aptos"/>
                <w:b/>
                <w:bCs/>
                <w:color w:val="C02424"/>
                <w:sz w:val="24"/>
                <w:szCs w:val="24"/>
              </w:rPr>
              <w:t xml:space="preserve">● </w:t>
            </w:r>
            <w:r>
              <w:rPr>
                <w:rFonts w:ascii="Aptos" w:cs="Aptos" w:eastAsia="Aptos" w:hAnsi="Aptos"/>
                <w:b/>
                <w:bCs/>
                <w:i w:val="false"/>
                <w:iCs w:val="false"/>
                <w:caps w:val="false"/>
                <w:color w:val="C02424"/>
                <w:sz w:val="21"/>
                <w:szCs w:val="21"/>
              </w:rPr>
              <w:t xml:space="preserve">ROJO</w:t>
            </w:r>
            <w:r>
              <w:rPr>
                <w:rFonts w:ascii="Aptos" w:cs="Aptos" w:eastAsia="Aptos" w:hAnsi="Aptos"/>
                <w:b w:val="false"/>
                <w:bCs w:val="false"/>
                <w:i w:val="false"/>
                <w:iCs w:val="false"/>
                <w:caps w:val="false"/>
                <w:color w:val="5B6B79"/>
                <w:sz w:val="21"/>
                <w:szCs w:val="21"/>
              </w:rPr>
              <w:t xml:space="preserve">  —  Evidencia insuficiente. No indicar por esta razón.</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6B7280"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RA markerless para miniscrews</w:t>
            </w:r>
          </w:p>
          <w:p>
            <w:pPr>
              <w:spacing w:after="0" w:line="317"/>
            </w:pPr>
            <w:r>
              <w:rPr>
                <w:rFonts w:ascii="Aptos" w:cs="Aptos" w:eastAsia="Aptos" w:hAnsi="Aptos"/>
                <w:b/>
                <w:bCs/>
                <w:color w:val="6B7280"/>
                <w:sz w:val="24"/>
                <w:szCs w:val="24"/>
              </w:rPr>
              <w:t xml:space="preserve">● </w:t>
            </w:r>
            <w:r>
              <w:rPr>
                <w:rFonts w:ascii="Aptos" w:cs="Aptos" w:eastAsia="Aptos" w:hAnsi="Aptos"/>
                <w:b/>
                <w:bCs/>
                <w:i w:val="false"/>
                <w:iCs w:val="false"/>
                <w:caps w:val="false"/>
                <w:color w:val="6B7280"/>
                <w:sz w:val="21"/>
                <w:szCs w:val="21"/>
              </w:rPr>
              <w:t xml:space="preserve">GRIS</w:t>
            </w:r>
            <w:r>
              <w:rPr>
                <w:rFonts w:ascii="Aptos" w:cs="Aptos" w:eastAsia="Aptos" w:hAnsi="Aptos"/>
                <w:b w:val="false"/>
                <w:bCs w:val="false"/>
                <w:i w:val="false"/>
                <w:iCs w:val="false"/>
                <w:caps w:val="false"/>
                <w:color w:val="5B6B79"/>
                <w:sz w:val="21"/>
                <w:szCs w:val="21"/>
              </w:rPr>
              <w:t xml:space="preserve">  —  En investigación. No aplicable clínicamente aún.</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FEA como guía clínica directa</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Marco teórico útil. No basar decisiones solo en FEA.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MOP para acelerar cierre de espacio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Efecto modesto. Opción complementaria.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MAMP en Clase III en crecimiento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Ventajoso vs anclaje dentario. Necesita más ECAs.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02424"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PBM para estabilidad de miniscrews</w:t>
            </w:r>
          </w:p>
          <w:p>
            <w:pPr>
              <w:spacing w:after="0" w:line="317"/>
            </w:pPr>
            <w:r>
              <w:rPr>
                <w:rFonts w:ascii="Aptos" w:cs="Aptos" w:eastAsia="Aptos" w:hAnsi="Aptos"/>
                <w:b/>
                <w:bCs/>
                <w:color w:val="C02424"/>
                <w:sz w:val="24"/>
                <w:szCs w:val="24"/>
              </w:rPr>
              <w:t xml:space="preserve">● </w:t>
            </w:r>
            <w:r>
              <w:rPr>
                <w:rFonts w:ascii="Aptos" w:cs="Aptos" w:eastAsia="Aptos" w:hAnsi="Aptos"/>
                <w:b/>
                <w:bCs/>
                <w:i w:val="false"/>
                <w:iCs w:val="false"/>
                <w:caps w:val="false"/>
                <w:color w:val="C02424"/>
                <w:sz w:val="21"/>
                <w:szCs w:val="21"/>
              </w:rPr>
              <w:t xml:space="preserve">ROJO</w:t>
            </w:r>
            <w:r>
              <w:rPr>
                <w:rFonts w:ascii="Aptos" w:cs="Aptos" w:eastAsia="Aptos" w:hAnsi="Aptos"/>
                <w:b w:val="false"/>
                <w:bCs w:val="false"/>
                <w:i w:val="false"/>
                <w:iCs w:val="false"/>
                <w:caps w:val="false"/>
                <w:color w:val="5B6B79"/>
                <w:sz w:val="21"/>
                <w:szCs w:val="21"/>
              </w:rPr>
              <w:t xml:space="preserve">  —  No recomendado. Evidencia muy baja.</w:t>
            </w:r>
          </w:p>
        </w:tc>
      </w:tr>
    </w:tbl>
    <w:p>
      <w:r>
        <w:br w:type="page"/>
      </w:r>
    </w:p>
    <w:p>
      <w:pPr>
        <w:spacing w:after="100" w:before="1800" w:line="252"/>
      </w:pPr>
      <w:r>
        <w:rPr>
          <w:rFonts w:ascii="Aptos Display" w:cs="Aptos Display" w:eastAsia="Aptos Display" w:hAnsi="Aptos Display"/>
          <w:b/>
          <w:bCs/>
          <w:i w:val="false"/>
          <w:iCs w:val="false"/>
          <w:caps w:val="false"/>
          <w:color w:val="E6EDF1"/>
          <w:sz w:val="80"/>
          <w:szCs w:val="80"/>
        </w:rPr>
        <w:t xml:space="preserve">00</w:t>
      </w:r>
    </w:p>
    <w:p>
      <w:pPr>
        <w:spacing w:after="60" w:line="276"/>
      </w:pPr>
      <w:r>
        <w:rPr>
          <w:rFonts w:ascii="Aptos" w:cs="Aptos" w:eastAsia="Aptos" w:hAnsi="Aptos"/>
          <w:b/>
          <w:bCs/>
          <w:i w:val="false"/>
          <w:iCs w:val="false"/>
          <w:caps/>
          <w:color w:val="1F5A75"/>
          <w:sz w:val="18"/>
          <w:szCs w:val="18"/>
        </w:rPr>
        <w:t xml:space="preserve">SECCIÓN 00</w:t>
      </w:r>
    </w:p>
    <w:p>
      <w:pPr>
        <w:pBdr>
          <w:bottom w:val="single" w:color="1F5A75" w:sz="6" w:space="0"/>
        </w:pBdr>
        <w:spacing w:after="160"/>
      </w:pPr>
    </w:p>
    <w:p>
      <w:pPr>
        <w:pStyle w:val="Heading1"/>
        <w:keepNext/>
        <w:keepLines/>
        <w:spacing w:after="160" w:line="252"/>
      </w:pPr>
      <w:r>
        <w:rPr>
          <w:rFonts w:ascii="Aptos Display" w:cs="Aptos Display" w:eastAsia="Aptos Display" w:hAnsi="Aptos Display"/>
          <w:b/>
          <w:bCs/>
          <w:i w:val="false"/>
          <w:iCs w:val="false"/>
          <w:caps w:val="false"/>
          <w:color w:val="1F2933"/>
          <w:sz w:val="38"/>
          <w:szCs w:val="38"/>
        </w:rPr>
        <w:t xml:space="preserve">Panorama General</w:t>
      </w:r>
    </w:p>
    <w:p>
      <w:pPr>
        <w:spacing w:after="0" w:line="312"/>
      </w:pPr>
      <w:r>
        <w:rPr>
          <w:rFonts w:ascii="Aptos" w:cs="Aptos" w:eastAsia="Aptos" w:hAnsi="Aptos"/>
          <w:b w:val="false"/>
          <w:bCs w:val="false"/>
          <w:i/>
          <w:iCs/>
          <w:caps w:val="false"/>
          <w:color w:val="5B6B79"/>
          <w:sz w:val="21"/>
          <w:szCs w:val="21"/>
        </w:rPr>
        <w:t xml:space="preserve">Se analizaron 20 artículos seleccionados de 252 indexados en PubMed (enero 2025 – abril 2026) sobre microtornillos/mini-implantes en ortodoncia. Todos los inputs son abstracts de PubMed (no textos ...</w:t>
      </w:r>
    </w:p>
    <w:p>
      <w:r>
        <w:br w:type="page"/>
      </w:r>
    </w:p>
    <w:p>
      <w:pPr>
        <w:spacing w:after="120" w:line="317"/>
        <w:jc w:val="both"/>
      </w:pPr>
      <w:r>
        <w:rPr>
          <w:rFonts w:ascii="Aptos" w:cs="Aptos" w:eastAsia="Aptos" w:hAnsi="Aptos"/>
          <w:b w:val="false"/>
          <w:bCs w:val="false"/>
          <w:i w:val="false"/>
          <w:iCs w:val="false"/>
          <w:caps w:val="false"/>
          <w:color w:val="1F2933"/>
          <w:sz w:val="21"/>
          <w:szCs w:val="21"/>
        </w:rPr>
        <w:t xml:space="preserve">Se analizaron 20 artículos seleccionados de 252 indexados en PubMed (enero 2025 – abril 2026) sobre microtornillos/mini-implantes en ortodoncia. Todos los inputs son abstracts de PubMed (no textos completos), lo que limita la profundidad de la evaluación de sesgos y la verificación de datos internos. Los artículos se agrupan en 6 líneas temáticas: tecnología de colocación guiada (2), anatomía CBCT de sitios de inserción (4), biomecánica computacional FEA (3), aplicaciones clínicas/versatilidad (1), MARPE – expansión palatina con miniscrews (5), y ensayos clínicos sobre movimientos específicos (5). El nivel de evidencia predominante es bajo a moderado, con solo 6 ECAs (muestras pequeñas), 4 revisiones sistemáticas, 3 estudios FEA, y el resto observacionales o series de casos. Ningún artículo presenta retractación detectable. La comparabilidad directa entre grupos es baja o no aplicable por la heterogeneidad de preguntas clínicas, pero la síntesis integradora dentro de cada grupo es posible.</w:t>
      </w:r>
    </w:p>
    <w:tbl>
      <w:tblPr>
        <w:tblW w:type="dxa" w:w="9524"/>
        <w:tblBorders>
          <w:top w:val="none" w:color="FFFFFF" w:sz="0"/>
          <w:left w:val="none" w:color="FFFFFF" w:sz="0"/>
          <w:bottom w:val="single" w:color="1F5A75" w:sz="4"/>
          <w:right w:val="none" w:color="FFFFFF" w:sz="0"/>
          <w:insideH w:val="single" w:color="DCE6EB" w:sz="3"/>
          <w:insideV w:val="none" w:color="FFFFFF" w:sz="0"/>
        </w:tblBorders>
      </w:tblPr>
      <w:tblGrid>
        <w:gridCol w:w="3174"/>
        <w:gridCol w:w="3174"/>
        <w:gridCol w:w="3176"/>
      </w:tblGrid>
      <w:tr>
        <w:trPr>
          <w:cantSplit/>
        </w:trPr>
        <w:tc>
          <w:tcPr>
            <w:tcW w:type="dxa" w:w="9524"/>
            <w:gridSpan w:val="3"/>
            <w:tcBorders>
              <w:top w:val="none" w:color="FFFFFF" w:sz="0"/>
              <w:left w:val="none" w:color="FFFFFF" w:sz="0"/>
              <w:bottom w:val="none" w:color="FFFFFF" w:sz="0"/>
              <w:right w:val="none" w:color="FFFFFF" w:sz="0"/>
            </w:tcBorders>
            <w:tcMar>
              <w:top w:type="dxa" w:w="140"/>
              <w:left w:type="dxa" w:w="0"/>
              <w:bottom w:type="dxa" w:w="50"/>
              <w:right w:type="dxa" w:w="0"/>
            </w:tcMar>
          </w:tcPr>
          <w:p>
            <w:pPr>
              <w:spacing w:after="20" w:line="276"/>
            </w:pPr>
            <w:r>
              <w:rPr>
                <w:rFonts w:ascii="Aptos" w:cs="Aptos" w:eastAsia="Aptos" w:hAnsi="Aptos"/>
                <w:b/>
                <w:bCs/>
                <w:i w:val="false"/>
                <w:iCs w:val="false"/>
                <w:caps/>
                <w:color w:val="1F5A75"/>
                <w:sz w:val="18"/>
                <w:szCs w:val="18"/>
              </w:rPr>
              <w:t xml:space="preserve">EXHIBIT 1</w:t>
            </w:r>
          </w:p>
          <w:p>
            <w:pPr>
              <w:spacing w:after="0" w:line="288"/>
            </w:pPr>
            <w:r>
              <w:rPr>
                <w:rFonts w:ascii="Aptos Display" w:cs="Aptos Display" w:eastAsia="Aptos Display" w:hAnsi="Aptos Display"/>
                <w:b/>
                <w:bCs/>
                <w:i w:val="false"/>
                <w:iCs w:val="false"/>
                <w:caps w:val="false"/>
                <w:color w:val="1F2933"/>
                <w:sz w:val="25"/>
                <w:szCs w:val="25"/>
              </w:rPr>
              <w:t xml:space="preserve">Distribución por Grupo Temático</w:t>
            </w:r>
          </w:p>
        </w:tc>
      </w:tr>
      <w:tr>
        <w:trPr>
          <w:cantSplit/>
          <w:tblHeader/>
          <w:trHeight w:val="320" w:hRule="atLeast"/>
        </w:trPr>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Grupo</w:t>
            </w:r>
          </w:p>
        </w:tc>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N</w:t>
            </w:r>
          </w:p>
        </w:tc>
        <w:tc>
          <w:tcPr>
            <w:tcW w:type="dxa" w:w="3176"/>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Diseños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Tecnología de colocación guiada</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1 ECA, 1 serie de casos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Anatomía CBCT sitios de inserción</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4</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3 transversales/retrospectivos, 1 experimental</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Biomecánica computacional (FEA)</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3</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3 FEA</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Aplicaciones clínicas / versatilidad</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1</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1 serie de casos retrospectiva</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MARPE — expansión palatina</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5</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 ECA, 1 revisión narrativa, 2 RS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Ensayos clínicos — movimientos específicos</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5</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 ECA, 1 RS GRADE, 1 retrospectivo, 1 overview RS</w:t>
            </w:r>
          </w:p>
        </w:tc>
      </w:tr>
    </w:tbl>
    <w:tbl>
      <w:tblPr>
        <w:tblW w:type="dxa" w:w="9524"/>
        <w:tblBorders>
          <w:top w:val="none" w:color="FFFFFF" w:sz="0"/>
          <w:left w:val="none" w:color="FFFFFF" w:sz="0"/>
          <w:bottom w:val="single" w:color="1F5A75" w:sz="4"/>
          <w:right w:val="none" w:color="FFFFFF" w:sz="0"/>
          <w:insideH w:val="single" w:color="DCE6EB" w:sz="3"/>
          <w:insideV w:val="none" w:color="FFFFFF" w:sz="0"/>
        </w:tblBorders>
      </w:tblPr>
      <w:tblGrid>
        <w:gridCol w:w="4762"/>
        <w:gridCol w:w="4762"/>
      </w:tblGrid>
      <w:tr>
        <w:trPr>
          <w:cantSplit/>
        </w:trPr>
        <w:tc>
          <w:tcPr>
            <w:tcW w:type="dxa" w:w="9524"/>
            <w:gridSpan w:val="2"/>
            <w:tcBorders>
              <w:top w:val="none" w:color="FFFFFF" w:sz="0"/>
              <w:left w:val="none" w:color="FFFFFF" w:sz="0"/>
              <w:bottom w:val="none" w:color="FFFFFF" w:sz="0"/>
              <w:right w:val="none" w:color="FFFFFF" w:sz="0"/>
            </w:tcBorders>
            <w:tcMar>
              <w:top w:type="dxa" w:w="140"/>
              <w:left w:type="dxa" w:w="0"/>
              <w:bottom w:type="dxa" w:w="50"/>
              <w:right w:type="dxa" w:w="0"/>
            </w:tcMar>
          </w:tcPr>
          <w:p>
            <w:pPr>
              <w:spacing w:after="20" w:line="276"/>
            </w:pPr>
            <w:r>
              <w:rPr>
                <w:rFonts w:ascii="Aptos" w:cs="Aptos" w:eastAsia="Aptos" w:hAnsi="Aptos"/>
                <w:b/>
                <w:bCs/>
                <w:i w:val="false"/>
                <w:iCs w:val="false"/>
                <w:caps/>
                <w:color w:val="1F5A75"/>
                <w:sz w:val="18"/>
                <w:szCs w:val="18"/>
              </w:rPr>
              <w:t xml:space="preserve">EXHIBIT 2</w:t>
            </w:r>
          </w:p>
          <w:p>
            <w:pPr>
              <w:spacing w:after="0" w:line="288"/>
            </w:pPr>
            <w:r>
              <w:rPr>
                <w:rFonts w:ascii="Aptos Display" w:cs="Aptos Display" w:eastAsia="Aptos Display" w:hAnsi="Aptos Display"/>
                <w:b/>
                <w:bCs/>
                <w:i w:val="false"/>
                <w:iCs w:val="false"/>
                <w:caps w:val="false"/>
                <w:color w:val="1F2933"/>
                <w:sz w:val="25"/>
                <w:szCs w:val="25"/>
              </w:rPr>
              <w:t xml:space="preserve">Distribución por Nivel de Evidencia</w:t>
            </w:r>
          </w:p>
        </w:tc>
      </w:tr>
      <w:tr>
        <w:trPr>
          <w:cantSplit/>
          <w:tblHeader/>
          <w:trHeight w:val="320" w:hRule="atLeast"/>
        </w:trPr>
        <w:tc>
          <w:tcPr>
            <w:tcW w:type="dxa" w:w="4762"/>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Nivel de Evidencia</w:t>
            </w:r>
          </w:p>
        </w:tc>
        <w:tc>
          <w:tcPr>
            <w:tcW w:type="dxa" w:w="4762"/>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N</w:t>
            </w:r>
          </w:p>
        </w:tc>
      </w:tr>
      <w:tr>
        <w:trPr>
          <w:cantSplit/>
          <w:tblHeader w:val="false"/>
          <w:trHeight w:val="320" w:hRule="atLeast"/>
        </w:trPr>
        <w:tc>
          <w:tcPr>
            <w:tcW w:type="dxa" w:w="4762"/>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Moderado</w:t>
            </w:r>
          </w:p>
        </w:tc>
        <w:tc>
          <w:tcPr>
            <w:tcW w:type="dxa" w:w="4762"/>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7</w:t>
            </w:r>
          </w:p>
        </w:tc>
      </w:tr>
      <w:tr>
        <w:trPr>
          <w:cantSplit/>
          <w:tblHeader w:val="false"/>
          <w:trHeight w:val="320" w:hRule="atLeast"/>
        </w:trPr>
        <w:tc>
          <w:tcPr>
            <w:tcW w:type="dxa" w:w="4762"/>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Bajo</w:t>
            </w:r>
          </w:p>
        </w:tc>
        <w:tc>
          <w:tcPr>
            <w:tcW w:type="dxa" w:w="4762"/>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9</w:t>
            </w:r>
          </w:p>
        </w:tc>
      </w:tr>
      <w:tr>
        <w:trPr>
          <w:cantSplit/>
          <w:tblHeader w:val="false"/>
          <w:trHeight w:val="320" w:hRule="atLeast"/>
        </w:trPr>
        <w:tc>
          <w:tcPr>
            <w:tcW w:type="dxa" w:w="4762"/>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Muy bajo</w:t>
            </w:r>
          </w:p>
        </w:tc>
        <w:tc>
          <w:tcPr>
            <w:tcW w:type="dxa" w:w="4762"/>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4</w:t>
            </w:r>
          </w:p>
        </w:tc>
      </w:tr>
    </w:tbl>
    <w:p>
      <w:r>
        <w:br w:type="page"/>
      </w:r>
    </w:p>
    <w:p>
      <w:pPr>
        <w:spacing w:after="100" w:before="1800" w:line="252"/>
      </w:pPr>
      <w:r>
        <w:rPr>
          <w:rFonts w:ascii="Aptos Display" w:cs="Aptos Display" w:eastAsia="Aptos Display" w:hAnsi="Aptos Display"/>
          <w:b/>
          <w:bCs/>
          <w:i w:val="false"/>
          <w:iCs w:val="false"/>
          <w:caps w:val="false"/>
          <w:color w:val="E6EDF1"/>
          <w:sz w:val="80"/>
          <w:szCs w:val="80"/>
        </w:rPr>
        <w:t xml:space="preserve">01</w:t>
      </w:r>
    </w:p>
    <w:p>
      <w:pPr>
        <w:spacing w:after="60" w:line="276"/>
      </w:pPr>
      <w:r>
        <w:rPr>
          <w:rFonts w:ascii="Aptos" w:cs="Aptos" w:eastAsia="Aptos" w:hAnsi="Aptos"/>
          <w:b/>
          <w:bCs/>
          <w:i w:val="false"/>
          <w:iCs w:val="false"/>
          <w:caps/>
          <w:color w:val="1F5A75"/>
          <w:sz w:val="18"/>
          <w:szCs w:val="18"/>
        </w:rPr>
        <w:t xml:space="preserve">SECCIÓN 01</w:t>
      </w:r>
    </w:p>
    <w:p>
      <w:pPr>
        <w:pBdr>
          <w:bottom w:val="single" w:color="1F5A75" w:sz="6" w:space="0"/>
        </w:pBdr>
        <w:spacing w:after="160"/>
      </w:pPr>
    </w:p>
    <w:p>
      <w:pPr>
        <w:pStyle w:val="Heading1"/>
        <w:keepNext/>
        <w:keepLines/>
        <w:spacing w:after="160" w:line="252"/>
      </w:pPr>
      <w:r>
        <w:rPr>
          <w:rFonts w:ascii="Aptos Display" w:cs="Aptos Display" w:eastAsia="Aptos Display" w:hAnsi="Aptos Display"/>
          <w:b/>
          <w:bCs/>
          <w:i w:val="false"/>
          <w:iCs w:val="false"/>
          <w:caps w:val="false"/>
          <w:color w:val="1F2933"/>
          <w:sz w:val="38"/>
          <w:szCs w:val="38"/>
        </w:rPr>
        <w:t xml:space="preserve">Tecnología de Colocación Guiada</w:t>
      </w:r>
    </w:p>
    <w:p>
      <w:pPr>
        <w:spacing w:after="0" w:line="312"/>
      </w:pPr>
      <w:r>
        <w:rPr>
          <w:rFonts w:ascii="Aptos" w:cs="Aptos" w:eastAsia="Aptos" w:hAnsi="Aptos"/>
          <w:b w:val="false"/>
          <w:bCs w:val="false"/>
          <w:i/>
          <w:iCs/>
          <w:caps w:val="false"/>
          <w:color w:val="5B6B79"/>
          <w:sz w:val="21"/>
          <w:szCs w:val="21"/>
        </w:rPr>
        <w:t xml:space="preserve">Dos artículos abordan innovaciones para mejorar la precisión de inserción de miniscrews: RA sin marcadores (serie de casos) y guías 3D impresas (ECA). Representan la línea más novedosa del periodo.</w:t>
      </w:r>
    </w:p>
    <w:p>
      <w:r>
        <w:br w:type="page"/>
      </w:r>
    </w:p>
    <w:p>
      <w:pPr>
        <w:spacing w:after="120" w:line="317"/>
        <w:jc w:val="both"/>
      </w:pPr>
      <w:r>
        <w:rPr>
          <w:rFonts w:ascii="Aptos" w:cs="Aptos" w:eastAsia="Aptos" w:hAnsi="Aptos"/>
          <w:b w:val="false"/>
          <w:bCs w:val="false"/>
          <w:i w:val="false"/>
          <w:iCs w:val="false"/>
          <w:caps w:val="false"/>
          <w:color w:val="1F2933"/>
          <w:sz w:val="21"/>
          <w:szCs w:val="21"/>
        </w:rPr>
        <w:t xml:space="preserve">Dos artículos abordan innovaciones para mejorar la precisión de inserción de miniscrews: RA sin marcadores (serie de casos) y guías 3D impresas (ECA). Representan la línea más novedosa del periodo.</w:t>
      </w:r>
    </w:p>
    <w:p>
      <w:pPr>
        <w:spacing w:after="100" w:line="317"/>
      </w:pPr>
      <w:r>
        <w:rPr>
          <w:rFonts w:ascii="Aptos" w:cs="Aptos" w:eastAsia="Aptos" w:hAnsi="Aptos"/>
          <w:b/>
          <w:bCs/>
          <w:i w:val="false"/>
          <w:iCs w:val="false"/>
          <w:caps w:val="false"/>
          <w:color w:val="1F5A75"/>
          <w:sz w:val="21"/>
          <w:szCs w:val="21"/>
        </w:rPr>
        <w:t xml:space="preserve">2 artículos analizados</w:t>
      </w:r>
      <w:r>
        <w:rPr>
          <w:rFonts w:ascii="Aptos" w:cs="Aptos" w:eastAsia="Aptos" w:hAnsi="Aptos"/>
          <w:b w:val="false"/>
          <w:bCs w:val="false"/>
          <w:i w:val="false"/>
          <w:iCs w:val="false"/>
          <w:caps w:val="false"/>
          <w:color w:val="5B6B79"/>
          <w:sz w:val="21"/>
          <w:szCs w:val="21"/>
        </w:rPr>
        <w:t xml:space="preserve"> — Diseños: Serie de casos [DE], ECA [DE]</w:t>
      </w:r>
    </w:p>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 Suenaga H et al. (2026)</w:t>
      </w:r>
    </w:p>
    <w:p>
      <w:pPr>
        <w:spacing w:after="100" w:line="317"/>
        <w:ind w:left="100"/>
      </w:pPr>
      <w:r>
        <w:rPr>
          <w:rFonts w:ascii="Aptos" w:cs="Aptos" w:eastAsia="Aptos" w:hAnsi="Aptos"/>
          <w:b w:val="false"/>
          <w:bCs w:val="false"/>
          <w:i/>
          <w:iCs/>
          <w:caps w:val="false"/>
          <w:color w:val="5B6B79"/>
          <w:sz w:val="21"/>
          <w:szCs w:val="21"/>
        </w:rPr>
        <w:t xml:space="preserve">Markerless AR-guided mini-screw placement: A clinical case series</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con plain language summary</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(ahead of print)</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Evaluar viabilidad y seguridad de sistema AR markerless para posicionar miniscrews en anatomía compleja</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Serie de casos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3 pacientes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Inserción guiada por AR markerless (CBCT + IOS)</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Colocación correcta 3/3 sin daño radicular. Sin complicaciones ≥12 meses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Primera descripción clínica de RA sin marcadores para miniscrews. Visualización en tiempo real de raíces durante inserción sin guía física. 3/3 éxitos sin complicaciones a ≥12 meses. Demuestra viabilidad técnica pero no eficacia comparativa.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Muy bajo — Serie de casos n=3 sin control ni medición cuantitativa de precisión.</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Selección (Posible); Reporte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Novedad tecnológica real — primera descripción clínica; Seguimiento ≥12 meses; No requiere guía física individualizada</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N=3: no generalizable; Sin grupo control; Sin medición cuantitativa de desviación; Curva de aprendizaje no descrita</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Muy baja. Solo demuestra factibilidad.</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RA markerless es técnicamente viable para guiar miniscrews.</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No aplicable actualmente en clínica habitual.</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Sin datos cuantitativos; no sustituye guías 3D con respaldo ECA.</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Incierta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6B7280"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6B7280"/>
                <w:sz w:val="24"/>
                <w:szCs w:val="24"/>
              </w:rPr>
              <w:t xml:space="preserve">● </w:t>
            </w:r>
            <w:r>
              <w:rPr>
                <w:rFonts w:ascii="Aptos" w:cs="Aptos" w:eastAsia="Aptos" w:hAnsi="Aptos"/>
                <w:b/>
                <w:bCs/>
                <w:i w:val="false"/>
                <w:iCs w:val="false"/>
                <w:caps w:val="false"/>
                <w:color w:val="6B7280"/>
                <w:sz w:val="21"/>
                <w:szCs w:val="21"/>
              </w:rPr>
              <w:t xml:space="preserve">GRIS</w:t>
            </w:r>
            <w:r>
              <w:rPr>
                <w:rFonts w:ascii="Aptos" w:cs="Aptos" w:eastAsia="Aptos" w:hAnsi="Aptos"/>
                <w:b w:val="false"/>
                <w:bCs w:val="false"/>
                <w:i w:val="false"/>
                <w:iCs w:val="false"/>
                <w:caps w:val="false"/>
                <w:color w:val="5B6B79"/>
                <w:sz w:val="21"/>
                <w:szCs w:val="21"/>
              </w:rPr>
              <w:t xml:space="preserve">  —  Prometedora pero sin evidencia para recomendación. Vigilar evolución.</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2. Jiang M et al. (2025)</w:t>
      </w:r>
    </w:p>
    <w:p>
      <w:pPr>
        <w:spacing w:after="100" w:line="317"/>
        <w:ind w:left="100"/>
      </w:pPr>
      <w:r>
        <w:rPr>
          <w:rFonts w:ascii="Aptos" w:cs="Aptos" w:eastAsia="Aptos" w:hAnsi="Aptos"/>
          <w:b w:val="false"/>
          <w:bCs w:val="false"/>
          <w:i/>
          <w:iCs/>
          <w:caps w:val="false"/>
          <w:color w:val="5B6B79"/>
          <w:sz w:val="21"/>
          <w:szCs w:val="21"/>
        </w:rPr>
        <w:t xml:space="preserve">3D-printed customized placement guides for TAD in mandibular buccal shelf: RCT</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indexado MEDLINE</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Evaluar precisión y seguridad de guía 3D vs inserción manual en oblicuo externo mandibular</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ECA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20 pacientes, 40 TADs (20 guiados / 20 manuales)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Guía 3D impresa personalizada</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Guiado: 1,49°±0,67° desviación. Distancia nervio: 6,8 vs 4,08 mm (p&lt;0,05). Sin contacto radicular en guiado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ECA que demuestra superioridad cuantitativa de guías 3D sobre inserción manual en buccal shelf mandibular: menor desviación angular (1,49°), mayor distancia al nervio alveolar (6,8 vs 4,08 mm, p&lt;0,05) y a raíces (5,04 vs 1,53 mm). Cero contactos radiculares en grupo guiado.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Moderado — ECA con mediciones CBCT pre/post. Limitado por n=20 y población Clase III exclusiva.</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Selección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Primer ECA para guías 3D en buccal shelf; Mediciones cuantitativas CBCT con software validado; Diferencia clínicamente significativa (2,7 mm al nervio); Registro ético documentado</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N=20 (pequeño); Solo Clase III — no generalizable; Sin datos de éxito/fracaso a largo plazo; Coste/tiempo de guía no evaluados; Cegamiento no descrito [ND]</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Moderada. Datos convincentes para esta localización y población.</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Guías 3D reducen significativamente riesgo de lesión nerviosa y radicular en buccal shelf.</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Aplicable en clínicas con CBCT + impresión 3D, especialmente en zonas de riesgo.</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Solo validado en Clase III leve-moderada. Sin datos coste-efectividad.</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Alta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0D7C5F"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0D7C5F"/>
                <w:sz w:val="24"/>
                <w:szCs w:val="24"/>
              </w:rPr>
              <w:t xml:space="preserve">● </w:t>
            </w:r>
            <w:r>
              <w:rPr>
                <w:rFonts w:ascii="Aptos" w:cs="Aptos" w:eastAsia="Aptos" w:hAnsi="Aptos"/>
                <w:b/>
                <w:bCs/>
                <w:i w:val="false"/>
                <w:iCs w:val="false"/>
                <w:caps w:val="false"/>
                <w:color w:val="0D7C5F"/>
                <w:sz w:val="21"/>
                <w:szCs w:val="21"/>
              </w:rPr>
              <w:t xml:space="preserve">VERDE</w:t>
            </w:r>
            <w:r>
              <w:rPr>
                <w:rFonts w:ascii="Aptos" w:cs="Aptos" w:eastAsia="Aptos" w:hAnsi="Aptos"/>
                <w:b w:val="false"/>
                <w:bCs w:val="false"/>
                <w:i w:val="false"/>
                <w:iCs w:val="false"/>
                <w:caps w:val="false"/>
                <w:color w:val="5B6B79"/>
                <w:sz w:val="21"/>
                <w:szCs w:val="21"/>
              </w:rPr>
              <w:t xml:space="preserve">  —  Recomendable en zonas de riesgo si se dispone de infraestructura digital.</w:t>
            </w:r>
          </w:p>
        </w:tc>
      </w:tr>
    </w:tbl>
    <w:p>
      <w:pPr>
        <w:spacing w:after="60" w:before="300" w:line="276"/>
      </w:pPr>
      <w:r>
        <w:rPr>
          <w:rFonts w:ascii="Aptos" w:cs="Aptos" w:eastAsia="Aptos" w:hAnsi="Aptos"/>
          <w:b/>
          <w:bCs/>
          <w:i w:val="false"/>
          <w:iCs w:val="false"/>
          <w:caps/>
          <w:color w:val="1F5A75"/>
          <w:sz w:val="18"/>
          <w:szCs w:val="18"/>
        </w:rPr>
        <w:t xml:space="preserve">SÍNTESIS DE SECCIÓN</w:t>
      </w:r>
    </w:p>
    <w:p>
      <w:pPr>
        <w:pBdr>
          <w:bottom w:val="single" w:color="E6EDF1" w:sz="3" w:space="0"/>
        </w:pBdr>
        <w:spacing w:after="120"/>
      </w:pPr>
    </w:p>
    <w:tbl>
      <w:tblPr>
        <w:tblW w:type="dxa" w:w="9524"/>
        <w:tblBorders>
          <w:top w:val="none" w:color="FFFFFF" w:sz="0"/>
          <w:left w:val="none" w:color="FFFFFF" w:sz="0"/>
          <w:bottom w:val="single" w:color="1F5A75" w:sz="4"/>
          <w:right w:val="none" w:color="FFFFFF" w:sz="0"/>
          <w:insideH w:val="single" w:color="DCE6EB" w:sz="3"/>
          <w:insideV w:val="none" w:color="FFFFFF" w:sz="0"/>
        </w:tblBorders>
      </w:tblPr>
      <w:tblGrid>
        <w:gridCol w:w="3174"/>
        <w:gridCol w:w="3174"/>
        <w:gridCol w:w="3176"/>
      </w:tblGrid>
      <w:tr>
        <w:trPr>
          <w:cantSplit/>
        </w:trPr>
        <w:tc>
          <w:tcPr>
            <w:tcW w:type="dxa" w:w="9524"/>
            <w:gridSpan w:val="3"/>
            <w:tcBorders>
              <w:top w:val="none" w:color="FFFFFF" w:sz="0"/>
              <w:left w:val="none" w:color="FFFFFF" w:sz="0"/>
              <w:bottom w:val="none" w:color="FFFFFF" w:sz="0"/>
              <w:right w:val="none" w:color="FFFFFF" w:sz="0"/>
            </w:tcBorders>
            <w:tcMar>
              <w:top w:type="dxa" w:w="140"/>
              <w:left w:type="dxa" w:w="0"/>
              <w:bottom w:type="dxa" w:w="50"/>
              <w:right w:type="dxa" w:w="0"/>
            </w:tcMar>
          </w:tcPr>
          <w:p>
            <w:pPr>
              <w:spacing w:after="20" w:line="276"/>
            </w:pPr>
            <w:r>
              <w:rPr>
                <w:rFonts w:ascii="Aptos" w:cs="Aptos" w:eastAsia="Aptos" w:hAnsi="Aptos"/>
                <w:b/>
                <w:bCs/>
                <w:i w:val="false"/>
                <w:iCs w:val="false"/>
                <w:caps/>
                <w:color w:val="1F5A75"/>
                <w:sz w:val="18"/>
                <w:szCs w:val="18"/>
              </w:rPr>
              <w:t xml:space="preserve">EXHIBIT 3</w:t>
            </w:r>
          </w:p>
          <w:p>
            <w:pPr>
              <w:spacing w:after="0" w:line="288"/>
            </w:pPr>
            <w:r>
              <w:rPr>
                <w:rFonts w:ascii="Aptos Display" w:cs="Aptos Display" w:eastAsia="Aptos Display" w:hAnsi="Aptos Display"/>
                <w:b/>
                <w:bCs/>
                <w:i w:val="false"/>
                <w:iCs w:val="false"/>
                <w:caps w:val="false"/>
                <w:color w:val="1F2933"/>
                <w:sz w:val="25"/>
                <w:szCs w:val="25"/>
              </w:rPr>
              <w:t xml:space="preserve">Comparabilidad entre Estudios</w:t>
            </w:r>
          </w:p>
        </w:tc>
      </w:tr>
      <w:tr>
        <w:trPr>
          <w:cantSplit/>
          <w:tblHeader/>
          <w:trHeight w:val="320" w:hRule="atLeast"/>
        </w:trPr>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Eje</w:t>
            </w:r>
          </w:p>
        </w:tc>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Evaluación</w:t>
            </w:r>
          </w:p>
        </w:tc>
        <w:tc>
          <w:tcPr>
            <w:tcW w:type="dxa" w:w="3176"/>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Comentario</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1. Misma pregunta</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Ambos buscan mejorar precisión, pero con tecnologías distintas.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 Población similar</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Art.1: 3 casos heterogéneos. Art.2: 20 Clase III.</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3. Intervención comparable</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RA vs guía 3D.</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4. Comparador comparable</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Sin control vs manual.</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5. Desenlaces comparables</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Ambos evalúan seguridad pero Art.2 cuantifica.</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6. Diseño alineado</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Serie de casos vs ECA.</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7. Finalidad similar</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Sí</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Mejorar seguridad con tecnología digital.</w:t>
            </w:r>
          </w:p>
        </w:tc>
      </w:tr>
    </w:tbl>
    <w:p>
      <w:pPr>
        <w:spacing w:after="60" w:line="317"/>
        <w:ind w:left="100"/>
      </w:pPr>
      <w:r>
        <w:rPr>
          <w:rFonts w:ascii="Aptos" w:cs="Aptos" w:eastAsia="Aptos" w:hAnsi="Aptos"/>
          <w:b/>
          <w:bCs/>
          <w:i w:val="false"/>
          <w:iCs w:val="false"/>
          <w:caps w:val="false"/>
          <w:color w:val="1F5A75"/>
          <w:sz w:val="21"/>
          <w:szCs w:val="21"/>
        </w:rPr>
        <w:t xml:space="preserve">Nivel:  </w:t>
      </w:r>
      <w:r>
        <w:rPr>
          <w:rFonts w:ascii="Aptos" w:cs="Aptos" w:eastAsia="Aptos" w:hAnsi="Aptos"/>
          <w:b w:val="false"/>
          <w:bCs w:val="false"/>
          <w:i w:val="false"/>
          <w:iCs w:val="false"/>
          <w:caps w:val="false"/>
          <w:color w:val="1F2933"/>
          <w:sz w:val="21"/>
          <w:szCs w:val="21"/>
        </w:rPr>
        <w:t xml:space="preserve">Baja</w:t>
      </w:r>
    </w:p>
    <w:p>
      <w:pPr>
        <w:spacing w:after="60" w:line="317"/>
        <w:ind w:left="100"/>
      </w:pPr>
      <w:r>
        <w:rPr>
          <w:rFonts w:ascii="Aptos" w:cs="Aptos" w:eastAsia="Aptos" w:hAnsi="Aptos"/>
          <w:b/>
          <w:bCs/>
          <w:i w:val="false"/>
          <w:iCs w:val="false"/>
          <w:caps w:val="false"/>
          <w:color w:val="1F5A75"/>
          <w:sz w:val="21"/>
          <w:szCs w:val="21"/>
        </w:rPr>
        <w:t xml:space="preserve">Justificación:  </w:t>
      </w:r>
      <w:r>
        <w:rPr>
          <w:rFonts w:ascii="Aptos" w:cs="Aptos" w:eastAsia="Aptos" w:hAnsi="Aptos"/>
          <w:b w:val="false"/>
          <w:bCs w:val="false"/>
          <w:i w:val="false"/>
          <w:iCs w:val="false"/>
          <w:caps w:val="false"/>
          <w:color w:val="1F2933"/>
          <w:sz w:val="21"/>
          <w:szCs w:val="21"/>
        </w:rPr>
        <w:t xml:space="preserve">1 eje Sí, 2 Parciales. No procede comparación directa.</w:t>
      </w:r>
    </w:p>
    <w:p>
      <w:pPr>
        <w:spacing w:after="120" w:line="317"/>
        <w:jc w:val="both"/>
      </w:pPr>
      <w:r>
        <w:rPr>
          <w:rFonts w:ascii="Aptos" w:cs="Aptos" w:eastAsia="Aptos" w:hAnsi="Aptos"/>
          <w:b w:val="false"/>
          <w:bCs w:val="false"/>
          <w:i w:val="false"/>
          <w:iCs w:val="false"/>
          <w:caps w:val="false"/>
          <w:color w:val="1F2933"/>
          <w:sz w:val="21"/>
          <w:szCs w:val="21"/>
        </w:rPr>
        <w:t xml:space="preserve">No es posible comparar directamente. La guía 3D (ECA) tiene evidencia sólida de superioridad sobre inserción manual en buccal shelf. La RA (serie de casos) es prueba de concepto sin evidencia cuantitativa. Para práctica actual: guía 3D recomendable; RA a vigilar.</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Premortem</w:t>
            </w:r>
          </w:p>
          <w:p>
            <w:pPr>
              <w:spacing w:after="60" w:line="317"/>
              <w:ind w:left="100"/>
            </w:pPr>
            <w:r>
              <w:rPr>
                <w:rFonts w:ascii="Aptos" w:cs="Aptos" w:eastAsia="Aptos" w:hAnsi="Aptos"/>
                <w:b/>
                <w:bCs/>
                <w:i w:val="false"/>
                <w:iCs w:val="false"/>
                <w:caps w:val="false"/>
                <w:color w:val="1F5A75"/>
                <w:sz w:val="21"/>
                <w:szCs w:val="21"/>
              </w:rPr>
              <w:t xml:space="preserve">Riesgo principal:  </w:t>
            </w:r>
            <w:r>
              <w:rPr>
                <w:rFonts w:ascii="Aptos" w:cs="Aptos" w:eastAsia="Aptos" w:hAnsi="Aptos"/>
                <w:b w:val="false"/>
                <w:bCs w:val="false"/>
                <w:i w:val="false"/>
                <w:iCs w:val="false"/>
                <w:caps w:val="false"/>
                <w:color w:val="1F2933"/>
                <w:sz w:val="21"/>
                <w:szCs w:val="21"/>
              </w:rPr>
              <w:t xml:space="preserve">Que la superioridad de guías 3D no se replique en otras localizaciones.</w:t>
            </w:r>
          </w:p>
          <w:p>
            <w:pPr>
              <w:spacing w:after="60" w:line="317"/>
              <w:ind w:left="100"/>
            </w:pPr>
            <w:r>
              <w:rPr>
                <w:rFonts w:ascii="Aptos" w:cs="Aptos" w:eastAsia="Aptos" w:hAnsi="Aptos"/>
                <w:b/>
                <w:bCs/>
                <w:i w:val="false"/>
                <w:iCs w:val="false"/>
                <w:caps w:val="false"/>
                <w:color w:val="1F5A75"/>
                <w:sz w:val="21"/>
                <w:szCs w:val="21"/>
              </w:rPr>
              <w:t xml:space="preserve">Datos faltantes:  </w:t>
            </w:r>
            <w:r>
              <w:rPr>
                <w:rFonts w:ascii="Aptos" w:cs="Aptos" w:eastAsia="Aptos" w:hAnsi="Aptos"/>
                <w:b w:val="false"/>
                <w:bCs w:val="false"/>
                <w:i w:val="false"/>
                <w:iCs w:val="false"/>
                <w:caps w:val="false"/>
                <w:color w:val="1F2933"/>
                <w:sz w:val="21"/>
                <w:szCs w:val="21"/>
              </w:rPr>
              <w:t xml:space="preserve">Coste-efectividad; tasa de éxito a largo plazo; precisión cuantitativa de RA.</w:t>
            </w:r>
          </w:p>
          <w:p>
            <w:pPr>
              <w:spacing w:after="60" w:line="317"/>
              <w:ind w:left="100"/>
            </w:pPr>
            <w:r>
              <w:rPr>
                <w:rFonts w:ascii="Aptos" w:cs="Aptos" w:eastAsia="Aptos" w:hAnsi="Aptos"/>
                <w:b/>
                <w:bCs/>
                <w:i w:val="false"/>
                <w:iCs w:val="false"/>
                <w:caps w:val="false"/>
                <w:color w:val="1F5A75"/>
                <w:sz w:val="21"/>
                <w:szCs w:val="21"/>
              </w:rPr>
              <w:t xml:space="preserve">Riesgo de sesgo:  </w:t>
            </w:r>
            <w:r>
              <w:rPr>
                <w:rFonts w:ascii="Aptos" w:cs="Aptos" w:eastAsia="Aptos" w:hAnsi="Aptos"/>
                <w:b w:val="false"/>
                <w:bCs w:val="false"/>
                <w:i w:val="false"/>
                <w:iCs w:val="false"/>
                <w:caps w:val="false"/>
                <w:color w:val="1F2933"/>
                <w:sz w:val="21"/>
                <w:szCs w:val="21"/>
              </w:rPr>
              <w:t xml:space="preserve">Posible sobrevaloración de RA por novedad (sesgo de recencia).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1F5A75" w:sz="16"/>
              <w:bottom w:val="none" w:color="FFFFFF" w:sz="0"/>
              <w:right w:val="none" w:color="FFFFFF" w:sz="0"/>
            </w:tcBorders>
            <w:shd w:fill="F4F8FA" w:val="clear"/>
            <w:tcMar>
              <w:top w:type="dxa" w:w="100"/>
              <w:left w:type="dxa" w:w="200"/>
              <w:bottom w:type="dxa" w:w="100"/>
              <w:right w:type="dxa" w:w="140"/>
            </w:tcMar>
          </w:tcPr>
          <w:p>
            <w:pPr>
              <w:spacing w:after="30" w:line="276"/>
            </w:pPr>
            <w:r>
              <w:rPr>
                <w:rFonts w:ascii="Aptos" w:cs="Aptos" w:eastAsia="Aptos" w:hAnsi="Aptos"/>
                <w:b/>
                <w:bCs/>
                <w:i w:val="false"/>
                <w:iCs w:val="false"/>
                <w:caps/>
                <w:color w:val="1F5A75"/>
                <w:sz w:val="18"/>
                <w:szCs w:val="18"/>
              </w:rPr>
              <w:t xml:space="preserve">IDEA CLAVE</w:t>
            </w:r>
          </w:p>
          <w:p>
            <w:pPr>
              <w:spacing w:after="0" w:line="288"/>
            </w:pPr>
            <w:r>
              <w:rPr>
                <w:rFonts w:ascii="Aptos Display" w:cs="Aptos Display" w:eastAsia="Aptos Display" w:hAnsi="Aptos Display"/>
                <w:b/>
                <w:bCs/>
                <w:i w:val="false"/>
                <w:iCs w:val="false"/>
                <w:caps w:val="false"/>
                <w:color w:val="1F2933"/>
                <w:sz w:val="25"/>
                <w:szCs w:val="25"/>
              </w:rPr>
              <w:t xml:space="preserve">Las guías 3D tienen respaldo ECA (moderado) y son recomendables en zonas de riesgo anatómico. La RA es prometedora pero prematura.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 del Grupo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Guías 3D: VERDE. RA: GRIS. Como grupo, evidencia desigual.</w:t>
            </w:r>
          </w:p>
        </w:tc>
      </w:tr>
    </w:tbl>
    <w:p>
      <w:r>
        <w:br w:type="page"/>
      </w:r>
    </w:p>
    <w:p>
      <w:pPr>
        <w:spacing w:after="100" w:before="1800" w:line="252"/>
      </w:pPr>
      <w:r>
        <w:rPr>
          <w:rFonts w:ascii="Aptos Display" w:cs="Aptos Display" w:eastAsia="Aptos Display" w:hAnsi="Aptos Display"/>
          <w:b/>
          <w:bCs/>
          <w:i w:val="false"/>
          <w:iCs w:val="false"/>
          <w:caps w:val="false"/>
          <w:color w:val="E6EDF1"/>
          <w:sz w:val="80"/>
          <w:szCs w:val="80"/>
        </w:rPr>
        <w:t xml:space="preserve">02</w:t>
      </w:r>
    </w:p>
    <w:p>
      <w:pPr>
        <w:spacing w:after="60" w:line="276"/>
      </w:pPr>
      <w:r>
        <w:rPr>
          <w:rFonts w:ascii="Aptos" w:cs="Aptos" w:eastAsia="Aptos" w:hAnsi="Aptos"/>
          <w:b/>
          <w:bCs/>
          <w:i w:val="false"/>
          <w:iCs w:val="false"/>
          <w:caps/>
          <w:color w:val="1F5A75"/>
          <w:sz w:val="18"/>
          <w:szCs w:val="18"/>
        </w:rPr>
        <w:t xml:space="preserve">SECCIÓN 02</w:t>
      </w:r>
    </w:p>
    <w:p>
      <w:pPr>
        <w:pBdr>
          <w:bottom w:val="single" w:color="1F5A75" w:sz="6" w:space="0"/>
        </w:pBdr>
        <w:spacing w:after="160"/>
      </w:pPr>
    </w:p>
    <w:p>
      <w:pPr>
        <w:pStyle w:val="Heading1"/>
        <w:keepNext/>
        <w:keepLines/>
        <w:spacing w:after="160" w:line="252"/>
      </w:pPr>
      <w:r>
        <w:rPr>
          <w:rFonts w:ascii="Aptos Display" w:cs="Aptos Display" w:eastAsia="Aptos Display" w:hAnsi="Aptos Display"/>
          <w:b/>
          <w:bCs/>
          <w:i w:val="false"/>
          <w:iCs w:val="false"/>
          <w:caps w:val="false"/>
          <w:color w:val="1F2933"/>
          <w:sz w:val="38"/>
          <w:szCs w:val="38"/>
        </w:rPr>
        <w:t xml:space="preserve">Anatomía CBCT de Sitios de Inserción</w:t>
      </w:r>
    </w:p>
    <w:p>
      <w:pPr>
        <w:spacing w:after="0" w:line="312"/>
      </w:pPr>
      <w:r>
        <w:rPr>
          <w:rFonts w:ascii="Aptos" w:cs="Aptos" w:eastAsia="Aptos" w:hAnsi="Aptos"/>
          <w:b w:val="false"/>
          <w:bCs w:val="false"/>
          <w:i/>
          <w:iCs/>
          <w:caps w:val="false"/>
          <w:color w:val="5B6B79"/>
          <w:sz w:val="21"/>
          <w:szCs w:val="21"/>
        </w:rPr>
        <w:t xml:space="preserve">Cuatro estudios CBCT evalúan disponibilidad ósea en sitios clave: cresta IZC (1), paladar anterior (1) y buccal shelf mandibular (2). Todos observacionales, orientados a planificación individualizada.</w:t>
      </w:r>
    </w:p>
    <w:p>
      <w:r>
        <w:br w:type="page"/>
      </w:r>
    </w:p>
    <w:p>
      <w:pPr>
        <w:spacing w:after="120" w:line="317"/>
        <w:jc w:val="both"/>
      </w:pPr>
      <w:r>
        <w:rPr>
          <w:rFonts w:ascii="Aptos" w:cs="Aptos" w:eastAsia="Aptos" w:hAnsi="Aptos"/>
          <w:b w:val="false"/>
          <w:bCs w:val="false"/>
          <w:i w:val="false"/>
          <w:iCs w:val="false"/>
          <w:caps w:val="false"/>
          <w:color w:val="1F2933"/>
          <w:sz w:val="21"/>
          <w:szCs w:val="21"/>
        </w:rPr>
        <w:t xml:space="preserve">Cuatro estudios CBCT evalúan disponibilidad ósea en sitios clave: cresta IZC (1), paladar anterior (1) y buccal shelf mandibular (2). Todos observacionales, orientados a planificación individualizada.</w:t>
      </w:r>
    </w:p>
    <w:p>
      <w:pPr>
        <w:spacing w:after="100" w:line="317"/>
      </w:pPr>
      <w:r>
        <w:rPr>
          <w:rFonts w:ascii="Aptos" w:cs="Aptos" w:eastAsia="Aptos" w:hAnsi="Aptos"/>
          <w:b/>
          <w:bCs/>
          <w:i w:val="false"/>
          <w:iCs w:val="false"/>
          <w:caps w:val="false"/>
          <w:color w:val="1F5A75"/>
          <w:sz w:val="21"/>
          <w:szCs w:val="21"/>
        </w:rPr>
        <w:t xml:space="preserve">4 artículos analizados</w:t>
      </w:r>
      <w:r>
        <w:rPr>
          <w:rFonts w:ascii="Aptos" w:cs="Aptos" w:eastAsia="Aptos" w:hAnsi="Aptos"/>
          <w:b w:val="false"/>
          <w:bCs w:val="false"/>
          <w:i w:val="false"/>
          <w:iCs w:val="false"/>
          <w:caps w:val="false"/>
          <w:color w:val="5B6B79"/>
          <w:sz w:val="21"/>
          <w:szCs w:val="21"/>
        </w:rPr>
        <w:t xml:space="preserve"> — Diseños: Transversal retrospectivo [DE], Estudio experimental con simulación virtual [DE], Retrospectivo [DE]</w:t>
      </w:r>
    </w:p>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3. Furão S et al. (2026)</w:t>
      </w:r>
    </w:p>
    <w:p>
      <w:pPr>
        <w:spacing w:after="100" w:line="317"/>
        <w:ind w:left="100"/>
      </w:pPr>
      <w:r>
        <w:rPr>
          <w:rFonts w:ascii="Aptos" w:cs="Aptos" w:eastAsia="Aptos" w:hAnsi="Aptos"/>
          <w:b w:val="false"/>
          <w:bCs w:val="false"/>
          <w:i/>
          <w:iCs/>
          <w:caps w:val="false"/>
          <w:color w:val="5B6B79"/>
          <w:sz w:val="21"/>
          <w:szCs w:val="21"/>
        </w:rPr>
        <w:t xml:space="preserve">Bone availability in the sagittal dimension of the IZC for miniscrew insertion: retrospective CBCT study</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(ahead of print)</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Cuantificar volumen óseo sagital en IZC disponible para TAD a inclinación de 45°</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Transversal retrospectivo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100 CBCT (40 hombres, 60 mujeres)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No aplica (estudio descriptivo)</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IZC sagital: 3,5±1,5 mm (derecha), 3,6±1,3 mm (izquierda). Sin diferencias sexo/lado. &gt;21 años mayor hueso: 3,8 vs 3,2 mm (p=0,038)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Estudio CBCT de 100 pacientes que demuestra volumen óseo sagital suficiente en la IZC a 45° para inserción de TAD en adultos, sin variación por sexo ni lado. Los pacientes &gt;21 años tienen significativamente más hueso disponible (3,8 vs 3,2 mm).</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Bajo — Estudio transversal descriptivo. Muestra razonable (n=100) pero sin validación clínica de inserción real.</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Selección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N=100 razonable para estudio CBCT; Mediciones estandarizadas con coordenadas 3D; Análisis por sexo, lado y edad</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Descriptivo: no valida inserción clínica real; Población portuguesa única; No evalúa calidad ósea (solo dimensión); Ángulo de 45° como umbral — no validado clínicamente</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Baja-moderada. Datos descriptivos sólidos pero sin validación clínica.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Hay hueso suficiente en IZC a 45° en adultos.</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Útil para planificación; CBCT individualizado sigue siendo necesario en &lt;21 años.</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Solo dimensión sagital; no evalúa densidad ósea ni éxito de inserción real.</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Media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Confirma disponibilidad ósea en IZC para adultos. Planificación CBCT individualizada necesaria en jóvenes.</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4. Lo Giudice A et al. (2026)</w:t>
      </w:r>
    </w:p>
    <w:p>
      <w:pPr>
        <w:spacing w:after="100" w:line="317"/>
        <w:ind w:left="100"/>
      </w:pPr>
      <w:r>
        <w:rPr>
          <w:rFonts w:ascii="Aptos" w:cs="Aptos" w:eastAsia="Aptos" w:hAnsi="Aptos"/>
          <w:b w:val="false"/>
          <w:bCs w:val="false"/>
          <w:i/>
          <w:iCs/>
          <w:caps w:val="false"/>
          <w:color w:val="5B6B79"/>
          <w:sz w:val="21"/>
          <w:szCs w:val="21"/>
        </w:rPr>
        <w:t xml:space="preserve">Simulated risk of root and neurovascular damage during miniscrew insertion in anterior palate without radiological data</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excepto editor de Frontiers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Evaluar riesgo de daño radicular y neurovascular al insertar miniscrews paramedios sin CBCT</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Estudio experimental con simulación virtual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60 sujetos (30 paladar normal, 30 constricción maxilar)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Inserción virtual de miniscrews paramedios usando solo IOS (sin CBCT)</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Distancias a raíces seguras en ambos grupos. En constricción: proximidad peligrosa al conducto nasopalatino, requirió ajuste significativo con CBCT (p&lt;0,05)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Estudio experimental que simula inserción de miniscrews palatinos paramedios sin CBCT en 60 sujetos. En paladar normal las distancias son seguras, pero en constricción maxilar la proximidad al conducto nasopalatino es peligrosamente reducida y requiere corrección significativa con CBCT.</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Moderado — Diseño experimental riguroso con integración CBCT+IOS. Muestra adecuada (n=60) para el objetivo.</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Financiación/CdI (Posible); Selección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Diseño riguroso con comparación cuantitativa IOS-solo vs CBCT-corregido; Dos grupos clínicamente relevantes (normal vs constricción); Implicación clínica directa y accionable</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Simulación virtual — no inserción real; Miniscrews específicos (Spider Screw 2×9mm) — no generalizable a otros sistemas; Umbral de constricción no especificado en abstract</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Moderada. Mensaje clínico claro y bien sustentado por el diseño.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El CBCT es imprescindible antes de insertar miniscrews palatinos en pacientes con constricción maxilar.</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Directamente aplicable: todo paciente con constricción maxilar que necesite miniscrews palatinos debe tener CBCT previo.</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En paladar normal las distancias fueron seguras incluso sin CBCT — el CBCT no es obligatorio en todos los casos.</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Alta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0D7C5F"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0D7C5F"/>
                <w:sz w:val="24"/>
                <w:szCs w:val="24"/>
              </w:rPr>
              <w:t xml:space="preserve">● </w:t>
            </w:r>
            <w:r>
              <w:rPr>
                <w:rFonts w:ascii="Aptos" w:cs="Aptos" w:eastAsia="Aptos" w:hAnsi="Aptos"/>
                <w:b/>
                <w:bCs/>
                <w:i w:val="false"/>
                <w:iCs w:val="false"/>
                <w:caps w:val="false"/>
                <w:color w:val="0D7C5F"/>
                <w:sz w:val="21"/>
                <w:szCs w:val="21"/>
              </w:rPr>
              <w:t xml:space="preserve">VERDE</w:t>
            </w:r>
            <w:r>
              <w:rPr>
                <w:rFonts w:ascii="Aptos" w:cs="Aptos" w:eastAsia="Aptos" w:hAnsi="Aptos"/>
                <w:b w:val="false"/>
                <w:bCs w:val="false"/>
                <w:i w:val="false"/>
                <w:iCs w:val="false"/>
                <w:caps w:val="false"/>
                <w:color w:val="5B6B79"/>
                <w:sz w:val="21"/>
                <w:szCs w:val="21"/>
              </w:rPr>
              <w:t xml:space="preserve">  —  CBCT obligatorio antes de miniscrews palatinos en constricción maxilar. En paladar normal, riesgo bajo sin CBCT.</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5. Mittal M et al. (2026)</w:t>
      </w:r>
    </w:p>
    <w:p>
      <w:pPr>
        <w:spacing w:after="100" w:line="317"/>
        <w:ind w:left="100"/>
      </w:pPr>
      <w:r>
        <w:rPr>
          <w:rFonts w:ascii="Aptos" w:cs="Aptos" w:eastAsia="Aptos" w:hAnsi="Aptos"/>
          <w:b w:val="false"/>
          <w:bCs w:val="false"/>
          <w:i/>
          <w:iCs/>
          <w:caps w:val="false"/>
          <w:color w:val="5B6B79"/>
          <w:sz w:val="21"/>
          <w:szCs w:val="21"/>
        </w:rPr>
        <w:t xml:space="preserve">Comparison of mandibular buccal shelf bone thickness in adolescents and adults using CBCT</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financiación declarada [DE]</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Comparar grosor óseo vertical y horizontal del buccal shelf entre adolescentes (12-18) y adultos (19-35)</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Transversal retrospectivo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60 CBCT (30 adolescentes, 30 adultos)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No aplica</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Adultos: mayor grosor vertical en regiones profundas interradiculares. Distal al 2° molar favorable en ambos grupos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CBCT de 60 pacientes comparando grosor óseo del buccal shelf entre adolescentes y adultos. Los adultos tienen mayor grosor en regiones profundas, lo que favorece la estabilidad de miniscrews extraalveolares. La región distal al segundo molar es favorable en ambos grupos.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Bajo — Transversal descriptivo, n=60, población india única.</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Selección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Mediciones estandarizadas en múltiples niveles y localizaciones; Comparación por grupos de edad clínicamente relevante</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N=60 (moderado); Población india única; No evalúa éxito clínico de inserción; Solo patrón de crecimiento promedio</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Baja. Descriptivo y monoétnico.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Los adultos tienen mejor soporte óseo para miniscrews en buccal shelf.</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Útil para planificación; en adolescentes, CBCT individualizado más necesario.</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No valida éxito de inserción; datos de una sola etnia.</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Media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Adultos mejor soporte óseo en buccal shelf. En adolescentes, planificar con CBCT individualizado.</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6. Mahajan SB et al. (2025)</w:t>
      </w:r>
    </w:p>
    <w:p>
      <w:pPr>
        <w:spacing w:after="100" w:line="317"/>
        <w:ind w:left="100"/>
      </w:pPr>
      <w:r>
        <w:rPr>
          <w:rFonts w:ascii="Aptos" w:cs="Aptos" w:eastAsia="Aptos" w:hAnsi="Aptos"/>
          <w:b w:val="false"/>
          <w:bCs w:val="false"/>
          <w:i/>
          <w:iCs/>
          <w:caps w:val="false"/>
          <w:color w:val="5B6B79"/>
          <w:sz w:val="21"/>
          <w:szCs w:val="21"/>
        </w:rPr>
        <w:t xml:space="preserve">Mandibular buccal shelf morphology among Indian adults using CBCT across Class I, II and III malocclusions</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breve</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Comparar anchura y grosor cortical del buccal shelf entre Clase I, II y III en adultos</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Retrospectivo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80 CBCT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No aplica</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Clase III: significativamente mayor anchura y grosor cortical que Clase I y II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80 CBCT de adultos indios comparando buccal shelf por clase esquelética. Clase III presenta el sitio más favorable para miniscrews extraalveolares, con mayor anchura y grosor cortical.</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Bajo — Retrospectivo descriptivo, monoétnico, abstract breve sin detalles estadísticos.</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Selección (Posible); Reporte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Pregunta clínicamente relevante; Comparación por las 3 clases esqueléticas</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Abstract muy breve — difícil evaluar en profundidad; Población monoétnica; Sin detalles de niveles de medición; No evalúa inserción real</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Baja. Hallazgo interesante pero poco detallado.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La clase esquelética influye en la disponibilidad ósea del buccal shelf; Clase III es el sitio más favorable.</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Considerar clase esquelética al planificar anclaje extraalveolar.</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Datos monoétnicos y sin validación clínica.</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Baja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Clase III tiene mejor hueso en buccal shelf. Considerar en planificación pero con cautela por evidencia limitada.</w:t>
            </w:r>
          </w:p>
        </w:tc>
      </w:tr>
    </w:tbl>
    <w:p>
      <w:pPr>
        <w:spacing w:after="60" w:before="300" w:line="276"/>
      </w:pPr>
      <w:r>
        <w:rPr>
          <w:rFonts w:ascii="Aptos" w:cs="Aptos" w:eastAsia="Aptos" w:hAnsi="Aptos"/>
          <w:b/>
          <w:bCs/>
          <w:i w:val="false"/>
          <w:iCs w:val="false"/>
          <w:caps/>
          <w:color w:val="1F5A75"/>
          <w:sz w:val="18"/>
          <w:szCs w:val="18"/>
        </w:rPr>
        <w:t xml:space="preserve">SÍNTESIS DE SECCIÓN</w:t>
      </w:r>
    </w:p>
    <w:p>
      <w:pPr>
        <w:pBdr>
          <w:bottom w:val="single" w:color="E6EDF1" w:sz="3" w:space="0"/>
        </w:pBdr>
        <w:spacing w:after="120"/>
      </w:pPr>
    </w:p>
    <w:tbl>
      <w:tblPr>
        <w:tblW w:type="dxa" w:w="9524"/>
        <w:tblBorders>
          <w:top w:val="none" w:color="FFFFFF" w:sz="0"/>
          <w:left w:val="none" w:color="FFFFFF" w:sz="0"/>
          <w:bottom w:val="single" w:color="1F5A75" w:sz="4"/>
          <w:right w:val="none" w:color="FFFFFF" w:sz="0"/>
          <w:insideH w:val="single" w:color="DCE6EB" w:sz="3"/>
          <w:insideV w:val="none" w:color="FFFFFF" w:sz="0"/>
        </w:tblBorders>
      </w:tblPr>
      <w:tblGrid>
        <w:gridCol w:w="3174"/>
        <w:gridCol w:w="3174"/>
        <w:gridCol w:w="3176"/>
      </w:tblGrid>
      <w:tr>
        <w:trPr>
          <w:cantSplit/>
        </w:trPr>
        <w:tc>
          <w:tcPr>
            <w:tcW w:type="dxa" w:w="9524"/>
            <w:gridSpan w:val="3"/>
            <w:tcBorders>
              <w:top w:val="none" w:color="FFFFFF" w:sz="0"/>
              <w:left w:val="none" w:color="FFFFFF" w:sz="0"/>
              <w:bottom w:val="none" w:color="FFFFFF" w:sz="0"/>
              <w:right w:val="none" w:color="FFFFFF" w:sz="0"/>
            </w:tcBorders>
            <w:tcMar>
              <w:top w:type="dxa" w:w="140"/>
              <w:left w:type="dxa" w:w="0"/>
              <w:bottom w:type="dxa" w:w="50"/>
              <w:right w:type="dxa" w:w="0"/>
            </w:tcMar>
          </w:tcPr>
          <w:p>
            <w:pPr>
              <w:spacing w:after="20" w:line="276"/>
            </w:pPr>
            <w:r>
              <w:rPr>
                <w:rFonts w:ascii="Aptos" w:cs="Aptos" w:eastAsia="Aptos" w:hAnsi="Aptos"/>
                <w:b/>
                <w:bCs/>
                <w:i w:val="false"/>
                <w:iCs w:val="false"/>
                <w:caps/>
                <w:color w:val="1F5A75"/>
                <w:sz w:val="18"/>
                <w:szCs w:val="18"/>
              </w:rPr>
              <w:t xml:space="preserve">EXHIBIT 4</w:t>
            </w:r>
          </w:p>
          <w:p>
            <w:pPr>
              <w:spacing w:after="0" w:line="288"/>
            </w:pPr>
            <w:r>
              <w:rPr>
                <w:rFonts w:ascii="Aptos Display" w:cs="Aptos Display" w:eastAsia="Aptos Display" w:hAnsi="Aptos Display"/>
                <w:b/>
                <w:bCs/>
                <w:i w:val="false"/>
                <w:iCs w:val="false"/>
                <w:caps w:val="false"/>
                <w:color w:val="1F2933"/>
                <w:sz w:val="25"/>
                <w:szCs w:val="25"/>
              </w:rPr>
              <w:t xml:space="preserve">Comparabilidad entre Estudios</w:t>
            </w:r>
          </w:p>
        </w:tc>
      </w:tr>
      <w:tr>
        <w:trPr>
          <w:cantSplit/>
          <w:tblHeader/>
          <w:trHeight w:val="320" w:hRule="atLeast"/>
        </w:trPr>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Eje</w:t>
            </w:r>
          </w:p>
        </w:tc>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Evaluación</w:t>
            </w:r>
          </w:p>
        </w:tc>
        <w:tc>
          <w:tcPr>
            <w:tcW w:type="dxa" w:w="3176"/>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Comentario</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1. Misma pregunta</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evalúan anatomía ósea para miniscrews, pero en sitios distintos (IZC, paladar, buccal shelf).</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 Población similar</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Poblaciones de Portugal, Italia, India (×2).</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3. Intervención comparable</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Sí</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usan CBCT para mediciones óseas.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4. Comparador comparable</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Variables de comparación distintas (edad, sexo, constricción, clase esquelética).</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5. Desenlaces comparables</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miden dimensiones óseas pero en sitios y niveles distintos.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6. Diseño alineado</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Sí</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observacionales con CBCT.</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7. Finalidad similar</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Sí</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Guiar planificación de inserción de miniscrews.</w:t>
            </w:r>
          </w:p>
        </w:tc>
      </w:tr>
    </w:tbl>
    <w:p>
      <w:pPr>
        <w:spacing w:after="60" w:line="317"/>
        <w:ind w:left="100"/>
      </w:pPr>
      <w:r>
        <w:rPr>
          <w:rFonts w:ascii="Aptos" w:cs="Aptos" w:eastAsia="Aptos" w:hAnsi="Aptos"/>
          <w:b/>
          <w:bCs/>
          <w:i w:val="false"/>
          <w:iCs w:val="false"/>
          <w:caps w:val="false"/>
          <w:color w:val="1F5A75"/>
          <w:sz w:val="21"/>
          <w:szCs w:val="21"/>
        </w:rPr>
        <w:t xml:space="preserve">Nivel:  </w:t>
      </w:r>
      <w:r>
        <w:rPr>
          <w:rFonts w:ascii="Aptos" w:cs="Aptos" w:eastAsia="Aptos" w:hAnsi="Aptos"/>
          <w:b w:val="false"/>
          <w:bCs w:val="false"/>
          <w:i w:val="false"/>
          <w:iCs w:val="false"/>
          <w:caps w:val="false"/>
          <w:color w:val="1F2933"/>
          <w:sz w:val="21"/>
          <w:szCs w:val="21"/>
        </w:rPr>
        <w:t xml:space="preserve">Parcial</w:t>
      </w:r>
    </w:p>
    <w:p>
      <w:pPr>
        <w:spacing w:after="60" w:line="317"/>
        <w:ind w:left="100"/>
      </w:pPr>
      <w:r>
        <w:rPr>
          <w:rFonts w:ascii="Aptos" w:cs="Aptos" w:eastAsia="Aptos" w:hAnsi="Aptos"/>
          <w:b/>
          <w:bCs/>
          <w:i w:val="false"/>
          <w:iCs w:val="false"/>
          <w:caps w:val="false"/>
          <w:color w:val="1F5A75"/>
          <w:sz w:val="21"/>
          <w:szCs w:val="21"/>
        </w:rPr>
        <w:t xml:space="preserve">Justificación:  </w:t>
      </w:r>
      <w:r>
        <w:rPr>
          <w:rFonts w:ascii="Aptos" w:cs="Aptos" w:eastAsia="Aptos" w:hAnsi="Aptos"/>
          <w:b w:val="false"/>
          <w:bCs w:val="false"/>
          <w:i w:val="false"/>
          <w:iCs w:val="false"/>
          <w:caps w:val="false"/>
          <w:color w:val="1F2933"/>
          <w:sz w:val="21"/>
          <w:szCs w:val="21"/>
        </w:rPr>
        <w:t xml:space="preserve">3 ejes Sí, 2 Parciales. Comparación directa no procede por sitios distintos, pero síntesis integradora sí.</w:t>
      </w:r>
    </w:p>
    <w:p>
      <w:pPr>
        <w:spacing w:after="120" w:line="317"/>
        <w:jc w:val="both"/>
      </w:pPr>
      <w:r>
        <w:rPr>
          <w:rFonts w:ascii="Aptos" w:cs="Aptos" w:eastAsia="Aptos" w:hAnsi="Aptos"/>
          <w:b w:val="false"/>
          <w:bCs w:val="false"/>
          <w:i w:val="false"/>
          <w:iCs w:val="false"/>
          <w:caps w:val="false"/>
          <w:color w:val="1F2933"/>
          <w:sz w:val="21"/>
          <w:szCs w:val="21"/>
        </w:rPr>
        <w:t xml:space="preserve">Los 4 estudios, aunque no directamente comparables por sitio anatómico, convergen en un mensaje clínico: la anatomía ósea para miniscrews varía significativamente con la edad (adultos &gt; adolescentes), la clase esquelética (Clase III &gt; I y II) y la condición palatina (constricción = riesgo en paladar). El CBCT emerge como herramienta imprescindible para planificación individualizada, especialmente en adolescentes, constricción maxilar y Clase I/II. El Art. 4 (Lo Giudice) aporta el mensaje clínico más accionable: CBCT obligatorio en constricción maxilar para miniscrews palatinos.</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Premortem</w:t>
            </w:r>
          </w:p>
          <w:p>
            <w:pPr>
              <w:spacing w:after="60" w:line="317"/>
              <w:ind w:left="100"/>
            </w:pPr>
            <w:r>
              <w:rPr>
                <w:rFonts w:ascii="Aptos" w:cs="Aptos" w:eastAsia="Aptos" w:hAnsi="Aptos"/>
                <w:b/>
                <w:bCs/>
                <w:i w:val="false"/>
                <w:iCs w:val="false"/>
                <w:caps w:val="false"/>
                <w:color w:val="1F5A75"/>
                <w:sz w:val="21"/>
                <w:szCs w:val="21"/>
              </w:rPr>
              <w:t xml:space="preserve">Riesgo principal:  </w:t>
            </w:r>
            <w:r>
              <w:rPr>
                <w:rFonts w:ascii="Aptos" w:cs="Aptos" w:eastAsia="Aptos" w:hAnsi="Aptos"/>
                <w:b w:val="false"/>
                <w:bCs w:val="false"/>
                <w:i w:val="false"/>
                <w:iCs w:val="false"/>
                <w:caps w:val="false"/>
                <w:color w:val="1F2933"/>
                <w:sz w:val="21"/>
                <w:szCs w:val="21"/>
              </w:rPr>
              <w:t xml:space="preserve">Que la variabilidad interétnica invalide la generalización de umbrales de dimensión ósea.</w:t>
            </w:r>
          </w:p>
          <w:p>
            <w:pPr>
              <w:spacing w:after="60" w:line="317"/>
              <w:ind w:left="100"/>
            </w:pPr>
            <w:r>
              <w:rPr>
                <w:rFonts w:ascii="Aptos" w:cs="Aptos" w:eastAsia="Aptos" w:hAnsi="Aptos"/>
                <w:b/>
                <w:bCs/>
                <w:i w:val="false"/>
                <w:iCs w:val="false"/>
                <w:caps w:val="false"/>
                <w:color w:val="1F5A75"/>
                <w:sz w:val="21"/>
                <w:szCs w:val="21"/>
              </w:rPr>
              <w:t xml:space="preserve">Datos faltantes:  </w:t>
            </w:r>
            <w:r>
              <w:rPr>
                <w:rFonts w:ascii="Aptos" w:cs="Aptos" w:eastAsia="Aptos" w:hAnsi="Aptos"/>
                <w:b w:val="false"/>
                <w:bCs w:val="false"/>
                <w:i w:val="false"/>
                <w:iCs w:val="false"/>
                <w:caps w:val="false"/>
                <w:color w:val="1F2933"/>
                <w:sz w:val="21"/>
                <w:szCs w:val="21"/>
              </w:rPr>
              <w:t xml:space="preserve">Datos de poblaciones europeas occidentales, correlación entre dimensión ósea y tasa de éxito de TADs.</w:t>
            </w:r>
          </w:p>
          <w:p>
            <w:pPr>
              <w:spacing w:after="60" w:line="317"/>
              <w:ind w:left="100"/>
            </w:pPr>
            <w:r>
              <w:rPr>
                <w:rFonts w:ascii="Aptos" w:cs="Aptos" w:eastAsia="Aptos" w:hAnsi="Aptos"/>
                <w:b/>
                <w:bCs/>
                <w:i w:val="false"/>
                <w:iCs w:val="false"/>
                <w:caps w:val="false"/>
                <w:color w:val="1F5A75"/>
                <w:sz w:val="21"/>
                <w:szCs w:val="21"/>
              </w:rPr>
              <w:t xml:space="preserve">Riesgo de sesgo:  </w:t>
            </w:r>
            <w:r>
              <w:rPr>
                <w:rFonts w:ascii="Aptos" w:cs="Aptos" w:eastAsia="Aptos" w:hAnsi="Aptos"/>
                <w:b w:val="false"/>
                <w:bCs w:val="false"/>
                <w:i w:val="false"/>
                <w:iCs w:val="false"/>
                <w:caps w:val="false"/>
                <w:color w:val="1F2933"/>
                <w:sz w:val="21"/>
                <w:szCs w:val="21"/>
              </w:rPr>
              <w:t xml:space="preserve">2 de 4 estudios son indios — posible sesgo de generalización si se aplican umbrales a otras poblaciones.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1F5A75" w:sz="16"/>
              <w:bottom w:val="none" w:color="FFFFFF" w:sz="0"/>
              <w:right w:val="none" w:color="FFFFFF" w:sz="0"/>
            </w:tcBorders>
            <w:shd w:fill="F4F8FA" w:val="clear"/>
            <w:tcMar>
              <w:top w:type="dxa" w:w="100"/>
              <w:left w:type="dxa" w:w="200"/>
              <w:bottom w:type="dxa" w:w="100"/>
              <w:right w:type="dxa" w:w="140"/>
            </w:tcMar>
          </w:tcPr>
          <w:p>
            <w:pPr>
              <w:spacing w:after="30" w:line="276"/>
            </w:pPr>
            <w:r>
              <w:rPr>
                <w:rFonts w:ascii="Aptos" w:cs="Aptos" w:eastAsia="Aptos" w:hAnsi="Aptos"/>
                <w:b/>
                <w:bCs/>
                <w:i w:val="false"/>
                <w:iCs w:val="false"/>
                <w:caps/>
                <w:color w:val="1F5A75"/>
                <w:sz w:val="18"/>
                <w:szCs w:val="18"/>
              </w:rPr>
              <w:t xml:space="preserve">IDEA CLAVE</w:t>
            </w:r>
          </w:p>
          <w:p>
            <w:pPr>
              <w:spacing w:after="0" w:line="288"/>
            </w:pPr>
            <w:r>
              <w:rPr>
                <w:rFonts w:ascii="Aptos Display" w:cs="Aptos Display" w:eastAsia="Aptos Display" w:hAnsi="Aptos Display"/>
                <w:b/>
                <w:bCs/>
                <w:i w:val="false"/>
                <w:iCs w:val="false"/>
                <w:caps w:val="false"/>
                <w:color w:val="1F2933"/>
                <w:sz w:val="25"/>
                <w:szCs w:val="25"/>
              </w:rPr>
              <w:t xml:space="preserve">La planificación con CBCT es necesaria para inserción segura de miniscrews, con mayor urgencia en adolescentes, pacientes con constricción maxilar y Clase I/II donde el hueso disponible es menor.</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 del Grupo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CBCT imprescindible en constricción maxilar (VERDE). Datos anatómicos útiles pero con limitaciones de generalización étnica.</w:t>
            </w:r>
          </w:p>
        </w:tc>
      </w:tr>
    </w:tbl>
    <w:p>
      <w:r>
        <w:br w:type="page"/>
      </w:r>
    </w:p>
    <w:p>
      <w:pPr>
        <w:spacing w:after="100" w:before="1800" w:line="252"/>
      </w:pPr>
      <w:r>
        <w:rPr>
          <w:rFonts w:ascii="Aptos Display" w:cs="Aptos Display" w:eastAsia="Aptos Display" w:hAnsi="Aptos Display"/>
          <w:b/>
          <w:bCs/>
          <w:i w:val="false"/>
          <w:iCs w:val="false"/>
          <w:caps w:val="false"/>
          <w:color w:val="E6EDF1"/>
          <w:sz w:val="80"/>
          <w:szCs w:val="80"/>
        </w:rPr>
        <w:t xml:space="preserve">03</w:t>
      </w:r>
    </w:p>
    <w:p>
      <w:pPr>
        <w:spacing w:after="60" w:line="276"/>
      </w:pPr>
      <w:r>
        <w:rPr>
          <w:rFonts w:ascii="Aptos" w:cs="Aptos" w:eastAsia="Aptos" w:hAnsi="Aptos"/>
          <w:b/>
          <w:bCs/>
          <w:i w:val="false"/>
          <w:iCs w:val="false"/>
          <w:caps/>
          <w:color w:val="1F5A75"/>
          <w:sz w:val="18"/>
          <w:szCs w:val="18"/>
        </w:rPr>
        <w:t xml:space="preserve">SECCIÓN 03</w:t>
      </w:r>
    </w:p>
    <w:p>
      <w:pPr>
        <w:pBdr>
          <w:bottom w:val="single" w:color="1F5A75" w:sz="6" w:space="0"/>
        </w:pBdr>
        <w:spacing w:after="160"/>
      </w:pPr>
    </w:p>
    <w:p>
      <w:pPr>
        <w:pStyle w:val="Heading1"/>
        <w:keepNext/>
        <w:keepLines/>
        <w:spacing w:after="160" w:line="252"/>
      </w:pPr>
      <w:r>
        <w:rPr>
          <w:rFonts w:ascii="Aptos Display" w:cs="Aptos Display" w:eastAsia="Aptos Display" w:hAnsi="Aptos Display"/>
          <w:b/>
          <w:bCs/>
          <w:i w:val="false"/>
          <w:iCs w:val="false"/>
          <w:caps w:val="false"/>
          <w:color w:val="1F2933"/>
          <w:sz w:val="38"/>
          <w:szCs w:val="38"/>
        </w:rPr>
        <w:t xml:space="preserve">Biomecánica Computacional (FEA)</w:t>
      </w:r>
    </w:p>
    <w:p>
      <w:pPr>
        <w:spacing w:after="0" w:line="312"/>
      </w:pPr>
      <w:r>
        <w:rPr>
          <w:rFonts w:ascii="Aptos" w:cs="Aptos" w:eastAsia="Aptos" w:hAnsi="Aptos"/>
          <w:b w:val="false"/>
          <w:bCs w:val="false"/>
          <w:i/>
          <w:iCs/>
          <w:caps w:val="false"/>
          <w:color w:val="5B6B79"/>
          <w:sz w:val="21"/>
          <w:szCs w:val="21"/>
        </w:rPr>
        <w:t xml:space="preserve">Tres estudios FEA evalúan distribución de stress/strain en mini-implantes bajo distintas condiciones de carga, dirección y profundidad, y comparan sistemas de distalización y retracción. Todos son computacionales sin ...</w:t>
      </w:r>
    </w:p>
    <w:p>
      <w:r>
        <w:br w:type="page"/>
      </w:r>
    </w:p>
    <w:p>
      <w:pPr>
        <w:spacing w:after="120" w:line="317"/>
        <w:jc w:val="both"/>
      </w:pPr>
      <w:r>
        <w:rPr>
          <w:rFonts w:ascii="Aptos" w:cs="Aptos" w:eastAsia="Aptos" w:hAnsi="Aptos"/>
          <w:b w:val="false"/>
          <w:bCs w:val="false"/>
          <w:i w:val="false"/>
          <w:iCs w:val="false"/>
          <w:caps w:val="false"/>
          <w:color w:val="1F2933"/>
          <w:sz w:val="21"/>
          <w:szCs w:val="21"/>
        </w:rPr>
        <w:t xml:space="preserve">Tres estudios FEA evalúan distribución de stress/strain en mini-implantes bajo distintas condiciones de carga, dirección y profundidad, y comparan sistemas de distalización y retracción. Todos son computacionales sin validación clínica directa.</w:t>
      </w:r>
    </w:p>
    <w:p>
      <w:pPr>
        <w:spacing w:after="100" w:line="317"/>
      </w:pPr>
      <w:r>
        <w:rPr>
          <w:rFonts w:ascii="Aptos" w:cs="Aptos" w:eastAsia="Aptos" w:hAnsi="Aptos"/>
          <w:b/>
          <w:bCs/>
          <w:i w:val="false"/>
          <w:iCs w:val="false"/>
          <w:caps w:val="false"/>
          <w:color w:val="1F5A75"/>
          <w:sz w:val="21"/>
          <w:szCs w:val="21"/>
        </w:rPr>
        <w:t xml:space="preserve">3 artículos analizados</w:t>
      </w:r>
      <w:r>
        <w:rPr>
          <w:rFonts w:ascii="Aptos" w:cs="Aptos" w:eastAsia="Aptos" w:hAnsi="Aptos"/>
          <w:b w:val="false"/>
          <w:bCs w:val="false"/>
          <w:i w:val="false"/>
          <w:iCs w:val="false"/>
          <w:caps w:val="false"/>
          <w:color w:val="5B6B79"/>
          <w:sz w:val="21"/>
          <w:szCs w:val="21"/>
        </w:rPr>
        <w:t xml:space="preserve"> — Diseños: FEA 3D [DE], FEA comparativo [DE], FEA [DE]</w:t>
      </w:r>
    </w:p>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7. Panaite T et al. (2026)</w:t>
      </w:r>
    </w:p>
    <w:p>
      <w:pPr>
        <w:spacing w:after="100" w:line="317"/>
        <w:ind w:left="100"/>
      </w:pPr>
      <w:r>
        <w:rPr>
          <w:rFonts w:ascii="Aptos" w:cs="Aptos" w:eastAsia="Aptos" w:hAnsi="Aptos"/>
          <w:b w:val="false"/>
          <w:bCs w:val="false"/>
          <w:i/>
          <w:iCs/>
          <w:caps w:val="false"/>
          <w:color w:val="5B6B79"/>
          <w:sz w:val="21"/>
          <w:szCs w:val="21"/>
        </w:rPr>
        <w:t xml:space="preserve">Effect of biomechanical loading parameters on stress/strain of orthodontic mini-implants: FEA</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Evaluar influencia de fuerza (1-10N), dirección (30°-60°) y profundidad (2-4mm) en stress/strain</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FEA 3D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Modelo computacional único de mandíbula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Variación de 3 parámetros de carga</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Óptimo: 1-3N, 60° carga, 2-4mm inserción. &gt;9N: riesgo fatiga. Esponjoso supera umbral microdaño &gt;3N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FEA 3D evaluando 3 parámetros biomecánicos de mini-implantes en mandíbula. Condiciones óptimas: fuerzas 1-3N, carga a 60°, inserción 2-4mm. Fuerzas &gt;9N se acercan a fatiga del implante. El hueso esponjoso es el tejido más vulnerable (umbral de microdaño &gt;3N).</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Bajo — Modelo computacional con supuestos lineales estáticos; no replica condiciones dinámicas in vivo.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Evaluación paramétrica sistemática de 3 variables; Identifica umbrales de riesgo específicos</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Modelo lineal estático — no refleja condiciones dinámicas; Un solo modelo anatómico — no variabilidad interindividual; Sin validación experimental o clínica</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Baja. Orientativo para diseño de protocolos pero no trasladable directamente a clínica.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Fuerzas de 1-3N a 60° con inserción profunda optimizan comportamiento mecánico.</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Base para diseño de protocolos; no aplicable como guía directa sin validación.</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Modelo simplificado; las condiciones clínicas reales son más complejas.</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Baja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Orientaciones biomecánicas útiles pero sin validación clínica. No basar decisiones solo en FEA.</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8. Kmeid R et al. (2026)</w:t>
      </w:r>
    </w:p>
    <w:p>
      <w:pPr>
        <w:spacing w:after="100" w:line="317"/>
        <w:ind w:left="100"/>
      </w:pPr>
      <w:r>
        <w:rPr>
          <w:rFonts w:ascii="Aptos" w:cs="Aptos" w:eastAsia="Aptos" w:hAnsi="Aptos"/>
          <w:b w:val="false"/>
          <w:bCs w:val="false"/>
          <w:i/>
          <w:iCs/>
          <w:caps w:val="false"/>
          <w:color w:val="5B6B79"/>
          <w:sz w:val="21"/>
          <w:szCs w:val="21"/>
        </w:rPr>
        <w:t xml:space="preserve">3D displacement patterns in maxillary molar distalization: comparative FEA</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Analizar desplazamiento 3D del primer molar superior con 7 aparatos distintos</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FEA comparativo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Modelo 3D único de maxilar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7 sistemas: cervical headgear, horizontal headgear, péndulo, miniscrews IZC, Bollard, AMDA, Beneslider</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Fuerza por encima del CR (AMDA, miniscrews IZC, Bollard): distalización corporal con tipping &lt;0,6° e intrusión leve. Fuerza bajo el CR (cervical HG, péndulo): mayor tipping y extrusión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FEA comparando 7 sistemas de distalización molar superior. Los sistemas con anclaje esquelético que aplican fuerza por encima del centro de resistencia molar (AMDA, miniscrews IZC, Bollard) producen movimiento casi corporal con tipping mínimo, mientras los dentosoportados generan más tipping y extrusión.</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Bajo — FEA con modelo único; sin validación clínica de los patrones de movimiento.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Comparación sistemática de 7 sistemas en modelo idéntico; Análisis 3D en los 3 planos; Hallazgo biomecánicamente coherente con la teoría del CR</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Modelo único — sin variabilidad anatómica; FEA estático — no refleja remodelación ósea ni compliance; Sin validación clínica</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Baja. Coherente teóricamente pero sin traducción clínica directa.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El anclaje esquelético es biomecánicamente superior para distalización molar controlada.</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Apoya preferencia por miniscrews IZC o Bollard sobre aparatos dentosoportados cuando se busca distalización corporal.</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Sin validación in vivo; la respuesta biológica real puede diferir del modelo.</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Media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FEA confirma superioridad biomecánica del anclaje esquelético. Coherente con teoría pero sin validación clínica.</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19. Erdem R, Kılıç N. (2026)</w:t>
      </w:r>
    </w:p>
    <w:p>
      <w:pPr>
        <w:spacing w:after="100" w:line="317"/>
        <w:ind w:left="100"/>
      </w:pPr>
      <w:r>
        <w:rPr>
          <w:rFonts w:ascii="Aptos" w:cs="Aptos" w:eastAsia="Aptos" w:hAnsi="Aptos"/>
          <w:b w:val="false"/>
          <w:bCs w:val="false"/>
          <w:i/>
          <w:iCs/>
          <w:caps w:val="false"/>
          <w:color w:val="5B6B79"/>
          <w:sz w:val="21"/>
          <w:szCs w:val="21"/>
        </w:rPr>
        <w:t xml:space="preserve">Biomechanical analysis of interradicular and infrazygomatic miniscrew anchorage during two-step and en-masse retraction: FEA</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Solo título y metadatos (abstract no disponible completo en la búsqueda)</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(ahead of print)</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Proyecto universitario Atatürk [DE]</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Comparar distribución de stress en retracción en 2 pasos vs en masa con anclaje interradicular e IZC [IR]</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FEA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Modelo único basado en datos de imagen de 1 paciente [IR]</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Retracción en 2 pasos y en masa con 2 tipos de anclaje</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No disponible en abstract accesible [ND]</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FEA comparando stress durante retracción (2 pasos vs en masa) con anclaje interradicular vs infrazigomático. Abstract completo no accesible — análisis limitado a metadatos.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No clasificable — Abstract completo no disponible; solo metadatos accesibles.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Pregunta clínicamente relevante; Financiación independiente</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Abstract completo no accesible — imposible evaluar resultados o metodología; Probable modelo FEA único sin validación clínica</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No evaluable.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No determinable sin acceso al contenido completo.</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No evaluable.</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No es posible extraer recomendaciones.</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Incierta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6B7280"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6B7280"/>
                <w:sz w:val="24"/>
                <w:szCs w:val="24"/>
              </w:rPr>
              <w:t xml:space="preserve">● </w:t>
            </w:r>
            <w:r>
              <w:rPr>
                <w:rFonts w:ascii="Aptos" w:cs="Aptos" w:eastAsia="Aptos" w:hAnsi="Aptos"/>
                <w:b/>
                <w:bCs/>
                <w:i w:val="false"/>
                <w:iCs w:val="false"/>
                <w:caps w:val="false"/>
                <w:color w:val="6B7280"/>
                <w:sz w:val="21"/>
                <w:szCs w:val="21"/>
              </w:rPr>
              <w:t xml:space="preserve">GRIS</w:t>
            </w:r>
            <w:r>
              <w:rPr>
                <w:rFonts w:ascii="Aptos" w:cs="Aptos" w:eastAsia="Aptos" w:hAnsi="Aptos"/>
                <w:b w:val="false"/>
                <w:bCs w:val="false"/>
                <w:i w:val="false"/>
                <w:iCs w:val="false"/>
                <w:caps w:val="false"/>
                <w:color w:val="5B6B79"/>
                <w:sz w:val="21"/>
                <w:szCs w:val="21"/>
              </w:rPr>
              <w:t xml:space="preserve">  —  Abstract no disponible. No evaluable.</w:t>
            </w:r>
          </w:p>
        </w:tc>
      </w:tr>
    </w:tbl>
    <w:p>
      <w:pPr>
        <w:spacing w:after="60" w:before="300" w:line="276"/>
      </w:pPr>
      <w:r>
        <w:rPr>
          <w:rFonts w:ascii="Aptos" w:cs="Aptos" w:eastAsia="Aptos" w:hAnsi="Aptos"/>
          <w:b/>
          <w:bCs/>
          <w:i w:val="false"/>
          <w:iCs w:val="false"/>
          <w:caps/>
          <w:color w:val="1F5A75"/>
          <w:sz w:val="18"/>
          <w:szCs w:val="18"/>
        </w:rPr>
        <w:t xml:space="preserve">SÍNTESIS DE SECCIÓN</w:t>
      </w:r>
    </w:p>
    <w:p>
      <w:pPr>
        <w:pBdr>
          <w:bottom w:val="single" w:color="E6EDF1" w:sz="3" w:space="0"/>
        </w:pBdr>
        <w:spacing w:after="120"/>
      </w:pPr>
    </w:p>
    <w:tbl>
      <w:tblPr>
        <w:tblW w:type="dxa" w:w="9524"/>
        <w:tblBorders>
          <w:top w:val="none" w:color="FFFFFF" w:sz="0"/>
          <w:left w:val="none" w:color="FFFFFF" w:sz="0"/>
          <w:bottom w:val="single" w:color="1F5A75" w:sz="4"/>
          <w:right w:val="none" w:color="FFFFFF" w:sz="0"/>
          <w:insideH w:val="single" w:color="DCE6EB" w:sz="3"/>
          <w:insideV w:val="none" w:color="FFFFFF" w:sz="0"/>
        </w:tblBorders>
      </w:tblPr>
      <w:tblGrid>
        <w:gridCol w:w="3174"/>
        <w:gridCol w:w="3174"/>
        <w:gridCol w:w="3176"/>
      </w:tblGrid>
      <w:tr>
        <w:trPr>
          <w:cantSplit/>
        </w:trPr>
        <w:tc>
          <w:tcPr>
            <w:tcW w:type="dxa" w:w="9524"/>
            <w:gridSpan w:val="3"/>
            <w:tcBorders>
              <w:top w:val="none" w:color="FFFFFF" w:sz="0"/>
              <w:left w:val="none" w:color="FFFFFF" w:sz="0"/>
              <w:bottom w:val="none" w:color="FFFFFF" w:sz="0"/>
              <w:right w:val="none" w:color="FFFFFF" w:sz="0"/>
            </w:tcBorders>
            <w:tcMar>
              <w:top w:type="dxa" w:w="140"/>
              <w:left w:type="dxa" w:w="0"/>
              <w:bottom w:type="dxa" w:w="50"/>
              <w:right w:type="dxa" w:w="0"/>
            </w:tcMar>
          </w:tcPr>
          <w:p>
            <w:pPr>
              <w:spacing w:after="20" w:line="276"/>
            </w:pPr>
            <w:r>
              <w:rPr>
                <w:rFonts w:ascii="Aptos" w:cs="Aptos" w:eastAsia="Aptos" w:hAnsi="Aptos"/>
                <w:b/>
                <w:bCs/>
                <w:i w:val="false"/>
                <w:iCs w:val="false"/>
                <w:caps/>
                <w:color w:val="1F5A75"/>
                <w:sz w:val="18"/>
                <w:szCs w:val="18"/>
              </w:rPr>
              <w:t xml:space="preserve">EXHIBIT 5</w:t>
            </w:r>
          </w:p>
          <w:p>
            <w:pPr>
              <w:spacing w:after="0" w:line="288"/>
            </w:pPr>
            <w:r>
              <w:rPr>
                <w:rFonts w:ascii="Aptos Display" w:cs="Aptos Display" w:eastAsia="Aptos Display" w:hAnsi="Aptos Display"/>
                <w:b/>
                <w:bCs/>
                <w:i w:val="false"/>
                <w:iCs w:val="false"/>
                <w:caps w:val="false"/>
                <w:color w:val="1F2933"/>
                <w:sz w:val="25"/>
                <w:szCs w:val="25"/>
              </w:rPr>
              <w:t xml:space="preserve">Comparabilidad entre Estudios</w:t>
            </w:r>
          </w:p>
        </w:tc>
      </w:tr>
      <w:tr>
        <w:trPr>
          <w:cantSplit/>
          <w:tblHeader/>
          <w:trHeight w:val="320" w:hRule="atLeast"/>
        </w:trPr>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Eje</w:t>
            </w:r>
          </w:p>
        </w:tc>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Evaluación</w:t>
            </w:r>
          </w:p>
        </w:tc>
        <w:tc>
          <w:tcPr>
            <w:tcW w:type="dxa" w:w="3176"/>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Comentario</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1. Misma pregunta</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evalúan biomecánica de miniscrews pero con preguntas distintas.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 Población similar</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Modelos computacionales distintos.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3. Intervención comparable</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Parámetros de carga vs sistemas de distalización vs retracción.</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4. Comparador comparable</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Cada uno tiene comparadores internos diferentes.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5. Desenlaces comparables</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miden stress/strain pero en contextos distintos.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6. Diseño alineado</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Sí</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FEA.</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7. Finalidad similar</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Sí</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Orientar biomecánica clínica de miniscrews.</w:t>
            </w:r>
          </w:p>
        </w:tc>
      </w:tr>
    </w:tbl>
    <w:p>
      <w:pPr>
        <w:spacing w:after="60" w:line="317"/>
        <w:ind w:left="100"/>
      </w:pPr>
      <w:r>
        <w:rPr>
          <w:rFonts w:ascii="Aptos" w:cs="Aptos" w:eastAsia="Aptos" w:hAnsi="Aptos"/>
          <w:b/>
          <w:bCs/>
          <w:i w:val="false"/>
          <w:iCs w:val="false"/>
          <w:caps w:val="false"/>
          <w:color w:val="1F5A75"/>
          <w:sz w:val="21"/>
          <w:szCs w:val="21"/>
        </w:rPr>
        <w:t xml:space="preserve">Nivel:  </w:t>
      </w:r>
      <w:r>
        <w:rPr>
          <w:rFonts w:ascii="Aptos" w:cs="Aptos" w:eastAsia="Aptos" w:hAnsi="Aptos"/>
          <w:b w:val="false"/>
          <w:bCs w:val="false"/>
          <w:i w:val="false"/>
          <w:iCs w:val="false"/>
          <w:caps w:val="false"/>
          <w:color w:val="1F2933"/>
          <w:sz w:val="21"/>
          <w:szCs w:val="21"/>
        </w:rPr>
        <w:t xml:space="preserve">Baja</w:t>
      </w:r>
    </w:p>
    <w:p>
      <w:pPr>
        <w:spacing w:after="60" w:line="317"/>
        <w:ind w:left="100"/>
      </w:pPr>
      <w:r>
        <w:rPr>
          <w:rFonts w:ascii="Aptos" w:cs="Aptos" w:eastAsia="Aptos" w:hAnsi="Aptos"/>
          <w:b/>
          <w:bCs/>
          <w:i w:val="false"/>
          <w:iCs w:val="false"/>
          <w:caps w:val="false"/>
          <w:color w:val="1F5A75"/>
          <w:sz w:val="21"/>
          <w:szCs w:val="21"/>
        </w:rPr>
        <w:t xml:space="preserve">Justificación:  </w:t>
      </w:r>
      <w:r>
        <w:rPr>
          <w:rFonts w:ascii="Aptos" w:cs="Aptos" w:eastAsia="Aptos" w:hAnsi="Aptos"/>
          <w:b w:val="false"/>
          <w:bCs w:val="false"/>
          <w:i w:val="false"/>
          <w:iCs w:val="false"/>
          <w:caps w:val="false"/>
          <w:color w:val="1F2933"/>
          <w:sz w:val="21"/>
          <w:szCs w:val="21"/>
        </w:rPr>
        <w:t xml:space="preserve">2 ejes Sí, 2 Parciales. No procede comparación directa; síntesis integradora posible.</w:t>
      </w:r>
    </w:p>
    <w:p>
      <w:pPr>
        <w:spacing w:after="120" w:line="317"/>
        <w:jc w:val="both"/>
      </w:pPr>
      <w:r>
        <w:rPr>
          <w:rFonts w:ascii="Aptos" w:cs="Aptos" w:eastAsia="Aptos" w:hAnsi="Aptos"/>
          <w:b w:val="false"/>
          <w:bCs w:val="false"/>
          <w:i w:val="false"/>
          <w:iCs w:val="false"/>
          <w:caps w:val="false"/>
          <w:color w:val="1F2933"/>
          <w:sz w:val="21"/>
          <w:szCs w:val="21"/>
        </w:rPr>
        <w:t xml:space="preserve">Los tres estudios FEA convergen en que la posición, dirección y magnitud de la fuerza son determinantes del comportamiento mecánico del mini-implante. El Art.7 define umbrales de fuerza (1-3N óptimo), el Art.8 demuestra superioridad biomecánica del anclaje esquelético sobre el dentario para distalización, y el Art.19 no es evaluable. Ninguno tiene validación clínica. Son útiles como marco teórico pero no como guías clínicas directas.</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Premortem</w:t>
            </w:r>
          </w:p>
          <w:p>
            <w:pPr>
              <w:spacing w:after="60" w:line="317"/>
              <w:ind w:left="100"/>
            </w:pPr>
            <w:r>
              <w:rPr>
                <w:rFonts w:ascii="Aptos" w:cs="Aptos" w:eastAsia="Aptos" w:hAnsi="Aptos"/>
                <w:b/>
                <w:bCs/>
                <w:i w:val="false"/>
                <w:iCs w:val="false"/>
                <w:caps w:val="false"/>
                <w:color w:val="1F5A75"/>
                <w:sz w:val="21"/>
                <w:szCs w:val="21"/>
              </w:rPr>
              <w:t xml:space="preserve">Riesgo principal:  </w:t>
            </w:r>
            <w:r>
              <w:rPr>
                <w:rFonts w:ascii="Aptos" w:cs="Aptos" w:eastAsia="Aptos" w:hAnsi="Aptos"/>
                <w:b w:val="false"/>
                <w:bCs w:val="false"/>
                <w:i w:val="false"/>
                <w:iCs w:val="false"/>
                <w:caps w:val="false"/>
                <w:color w:val="1F2933"/>
                <w:sz w:val="21"/>
                <w:szCs w:val="21"/>
              </w:rPr>
              <w:t xml:space="preserve">Que los modelos FEA simplifiquen excesivamente la biología y que los umbrales no se confirmen in vivo.</w:t>
            </w:r>
          </w:p>
          <w:p>
            <w:pPr>
              <w:spacing w:after="60" w:line="317"/>
              <w:ind w:left="100"/>
            </w:pPr>
            <w:r>
              <w:rPr>
                <w:rFonts w:ascii="Aptos" w:cs="Aptos" w:eastAsia="Aptos" w:hAnsi="Aptos"/>
                <w:b/>
                <w:bCs/>
                <w:i w:val="false"/>
                <w:iCs w:val="false"/>
                <w:caps w:val="false"/>
                <w:color w:val="1F5A75"/>
                <w:sz w:val="21"/>
                <w:szCs w:val="21"/>
              </w:rPr>
              <w:t xml:space="preserve">Datos faltantes:  </w:t>
            </w:r>
            <w:r>
              <w:rPr>
                <w:rFonts w:ascii="Aptos" w:cs="Aptos" w:eastAsia="Aptos" w:hAnsi="Aptos"/>
                <w:b w:val="false"/>
                <w:bCs w:val="false"/>
                <w:i w:val="false"/>
                <w:iCs w:val="false"/>
                <w:caps w:val="false"/>
                <w:color w:val="1F2933"/>
                <w:sz w:val="21"/>
                <w:szCs w:val="21"/>
              </w:rPr>
              <w:t xml:space="preserve">Validación clínica de los umbrales de fuerza y patrones de movimiento predichos.</w:t>
            </w:r>
          </w:p>
          <w:p>
            <w:pPr>
              <w:spacing w:after="60" w:line="317"/>
              <w:ind w:left="100"/>
            </w:pPr>
            <w:r>
              <w:rPr>
                <w:rFonts w:ascii="Aptos" w:cs="Aptos" w:eastAsia="Aptos" w:hAnsi="Aptos"/>
                <w:b/>
                <w:bCs/>
                <w:i w:val="false"/>
                <w:iCs w:val="false"/>
                <w:caps w:val="false"/>
                <w:color w:val="1F5A75"/>
                <w:sz w:val="21"/>
                <w:szCs w:val="21"/>
              </w:rPr>
              <w:t xml:space="preserve">Riesgo de sesgo:  </w:t>
            </w:r>
            <w:r>
              <w:rPr>
                <w:rFonts w:ascii="Aptos" w:cs="Aptos" w:eastAsia="Aptos" w:hAnsi="Aptos"/>
                <w:b w:val="false"/>
                <w:bCs w:val="false"/>
                <w:i w:val="false"/>
                <w:iCs w:val="false"/>
                <w:caps w:val="false"/>
                <w:color w:val="1F2933"/>
                <w:sz w:val="21"/>
                <w:szCs w:val="21"/>
              </w:rPr>
              <w:t xml:space="preserve">Los FEA tienden a presentar resultados limpios que pueden generar falsa confianza en su aplicabilidad directa.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1F5A75" w:sz="16"/>
              <w:bottom w:val="none" w:color="FFFFFF" w:sz="0"/>
              <w:right w:val="none" w:color="FFFFFF" w:sz="0"/>
            </w:tcBorders>
            <w:shd w:fill="F4F8FA" w:val="clear"/>
            <w:tcMar>
              <w:top w:type="dxa" w:w="100"/>
              <w:left w:type="dxa" w:w="200"/>
              <w:bottom w:type="dxa" w:w="100"/>
              <w:right w:type="dxa" w:w="140"/>
            </w:tcMar>
          </w:tcPr>
          <w:p>
            <w:pPr>
              <w:spacing w:after="30" w:line="276"/>
            </w:pPr>
            <w:r>
              <w:rPr>
                <w:rFonts w:ascii="Aptos" w:cs="Aptos" w:eastAsia="Aptos" w:hAnsi="Aptos"/>
                <w:b/>
                <w:bCs/>
                <w:i w:val="false"/>
                <w:iCs w:val="false"/>
                <w:caps/>
                <w:color w:val="1F5A75"/>
                <w:sz w:val="18"/>
                <w:szCs w:val="18"/>
              </w:rPr>
              <w:t xml:space="preserve">IDEA CLAVE</w:t>
            </w:r>
          </w:p>
          <w:p>
            <w:pPr>
              <w:spacing w:after="0" w:line="288"/>
            </w:pPr>
            <w:r>
              <w:rPr>
                <w:rFonts w:ascii="Aptos Display" w:cs="Aptos Display" w:eastAsia="Aptos Display" w:hAnsi="Aptos Display"/>
                <w:b/>
                <w:bCs/>
                <w:i w:val="false"/>
                <w:iCs w:val="false"/>
                <w:caps w:val="false"/>
                <w:color w:val="1F2933"/>
                <w:sz w:val="25"/>
                <w:szCs w:val="25"/>
              </w:rPr>
              <w:t xml:space="preserve">Los FEA aportan un marco teórico coherente pero sin traducción clínica directa. Útiles para orientar diseño de protocolos, no para tomar decisiones clínicas individuales.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 del Grupo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Marco teórico útil pero sin validación clínica. No basar decisiones solo en FEA.</w:t>
            </w:r>
          </w:p>
        </w:tc>
      </w:tr>
    </w:tbl>
    <w:p>
      <w:r>
        <w:br w:type="page"/>
      </w:r>
    </w:p>
    <w:p>
      <w:pPr>
        <w:spacing w:after="100" w:before="1800" w:line="252"/>
      </w:pPr>
      <w:r>
        <w:rPr>
          <w:rFonts w:ascii="Aptos Display" w:cs="Aptos Display" w:eastAsia="Aptos Display" w:hAnsi="Aptos Display"/>
          <w:b/>
          <w:bCs/>
          <w:i w:val="false"/>
          <w:iCs w:val="false"/>
          <w:caps w:val="false"/>
          <w:color w:val="E6EDF1"/>
          <w:sz w:val="80"/>
          <w:szCs w:val="80"/>
        </w:rPr>
        <w:t xml:space="preserve">04</w:t>
      </w:r>
    </w:p>
    <w:p>
      <w:pPr>
        <w:spacing w:after="60" w:line="276"/>
      </w:pPr>
      <w:r>
        <w:rPr>
          <w:rFonts w:ascii="Aptos" w:cs="Aptos" w:eastAsia="Aptos" w:hAnsi="Aptos"/>
          <w:b/>
          <w:bCs/>
          <w:i w:val="false"/>
          <w:iCs w:val="false"/>
          <w:caps/>
          <w:color w:val="1F5A75"/>
          <w:sz w:val="18"/>
          <w:szCs w:val="18"/>
        </w:rPr>
        <w:t xml:space="preserve">SECCIÓN 04</w:t>
      </w:r>
    </w:p>
    <w:p>
      <w:pPr>
        <w:pBdr>
          <w:bottom w:val="single" w:color="1F5A75" w:sz="6" w:space="0"/>
        </w:pBdr>
        <w:spacing w:after="160"/>
      </w:pPr>
    </w:p>
    <w:p>
      <w:pPr>
        <w:pStyle w:val="Heading1"/>
        <w:keepNext/>
        <w:keepLines/>
        <w:spacing w:after="160" w:line="252"/>
      </w:pPr>
      <w:r>
        <w:rPr>
          <w:rFonts w:ascii="Aptos Display" w:cs="Aptos Display" w:eastAsia="Aptos Display" w:hAnsi="Aptos Display"/>
          <w:b/>
          <w:bCs/>
          <w:i w:val="false"/>
          <w:iCs w:val="false"/>
          <w:caps w:val="false"/>
          <w:color w:val="1F2933"/>
          <w:sz w:val="38"/>
          <w:szCs w:val="38"/>
        </w:rPr>
        <w:t xml:space="preserve">Aplicaciones Clínicas — Versatilidad</w:t>
      </w:r>
    </w:p>
    <w:p>
      <w:pPr>
        <w:spacing w:after="0" w:line="312"/>
      </w:pPr>
      <w:r>
        <w:rPr>
          <w:rFonts w:ascii="Aptos" w:cs="Aptos" w:eastAsia="Aptos" w:hAnsi="Aptos"/>
          <w:b w:val="false"/>
          <w:bCs w:val="false"/>
          <w:i/>
          <w:iCs/>
          <w:caps w:val="false"/>
          <w:color w:val="5B6B79"/>
          <w:sz w:val="21"/>
          <w:szCs w:val="21"/>
        </w:rPr>
        <w:t xml:space="preserve">Un artículo único (serie de casos retrospectiva) ilustra la versatilidad de los mini-implantes en múltiples aplicaciones biomecánicas.</w:t>
      </w:r>
    </w:p>
    <w:p>
      <w:r>
        <w:br w:type="page"/>
      </w:r>
    </w:p>
    <w:p>
      <w:pPr>
        <w:spacing w:after="120" w:line="317"/>
        <w:jc w:val="both"/>
      </w:pPr>
      <w:r>
        <w:rPr>
          <w:rFonts w:ascii="Aptos" w:cs="Aptos" w:eastAsia="Aptos" w:hAnsi="Aptos"/>
          <w:b w:val="false"/>
          <w:bCs w:val="false"/>
          <w:i w:val="false"/>
          <w:iCs w:val="false"/>
          <w:caps w:val="false"/>
          <w:color w:val="1F2933"/>
          <w:sz w:val="21"/>
          <w:szCs w:val="21"/>
        </w:rPr>
        <w:t xml:space="preserve">Un artículo único (serie de casos retrospectiva) ilustra la versatilidad de los mini-implantes en múltiples aplicaciones biomecánicas.</w:t>
      </w:r>
    </w:p>
    <w:p>
      <w:pPr>
        <w:spacing w:after="100" w:line="317"/>
      </w:pPr>
      <w:r>
        <w:rPr>
          <w:rFonts w:ascii="Aptos" w:cs="Aptos" w:eastAsia="Aptos" w:hAnsi="Aptos"/>
          <w:b/>
          <w:bCs/>
          <w:i w:val="false"/>
          <w:iCs w:val="false"/>
          <w:caps w:val="false"/>
          <w:color w:val="1F5A75"/>
          <w:sz w:val="21"/>
          <w:szCs w:val="21"/>
        </w:rPr>
        <w:t xml:space="preserve">1 artículos analizados</w:t>
      </w:r>
      <w:r>
        <w:rPr>
          <w:rFonts w:ascii="Aptos" w:cs="Aptos" w:eastAsia="Aptos" w:hAnsi="Aptos"/>
          <w:b w:val="false"/>
          <w:bCs w:val="false"/>
          <w:i w:val="false"/>
          <w:iCs w:val="false"/>
          <w:caps w:val="false"/>
          <w:color w:val="5B6B79"/>
          <w:sz w:val="21"/>
          <w:szCs w:val="21"/>
        </w:rPr>
        <w:t xml:space="preserve"> — Diseños: Serie de casos retrospectiva [DE]</w:t>
      </w:r>
    </w:p>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9. Bungău TC et al. (2026)</w:t>
      </w:r>
    </w:p>
    <w:p>
      <w:pPr>
        <w:spacing w:after="100" w:line="317"/>
        <w:ind w:left="100"/>
      </w:pPr>
      <w:r>
        <w:rPr>
          <w:rFonts w:ascii="Aptos" w:cs="Aptos" w:eastAsia="Aptos" w:hAnsi="Aptos"/>
          <w:b w:val="false"/>
          <w:bCs w:val="false"/>
          <w:i/>
          <w:iCs/>
          <w:caps w:val="false"/>
          <w:color w:val="5B6B79"/>
          <w:sz w:val="21"/>
          <w:szCs w:val="21"/>
        </w:rPr>
        <w:t xml:space="preserve">Clinical applications of orthodontic mini-implants: A case series exploring biomechanical versatility</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Ilustrar la versatilidad de mini-implantes en distintos planos de movimiento</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Serie de casos retrospectiva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Varios casos (número no especificado en abstract) [ND]</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Mini-implantes Dual Top y JS en múltiples aplicaciones</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Anclaje estable y reproducible en todos los casos. Reutilización secuencial del mismo implante. Movimientos 3D complejos con efectos secundarios mínimos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Serie de casos que demuestra la versatilidad de mini-implantes en retracción incisiva (directa/indirecta secuencial), corrección de mordida abierta (MARPE + intrusión molar), intrusión incisiva para sobremordida y distalización molar unilateral. La reutilización secuencial del mismo mini-implante reduce invasividad.</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Muy bajo — Serie de casos sin control, sin N definido, sin seguimiento estandarizado.</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Selección (Posible); Reporte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Ilustra múltiples aplicaciones en los 3 planos del espacio; Concepto de reutilización secuencial — clínicamente interesante</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N no definido; Sin grupo control; Solo casos exitosos — sesgo de publicación evidente; Sin seguimiento estandarizado</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Muy baja. Ilustrativo pero no probatorio.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Los mini-implantes son versátiles para abordar múltiples situaciones biomecánicas.</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Confirma lo que la práctica clínica ya establece; no aporta evidencia nueva.</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No permite cuantificar eficacia ni comparar con alternativas.</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Baja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Ilustrativo de versatilidad conocida. No aporta nueva evidencia cuantificable.</w:t>
            </w:r>
          </w:p>
        </w:tc>
      </w:tr>
    </w:tbl>
    <w:p>
      <w:pPr>
        <w:spacing w:after="60" w:before="300" w:line="276"/>
      </w:pPr>
      <w:r>
        <w:rPr>
          <w:rFonts w:ascii="Aptos" w:cs="Aptos" w:eastAsia="Aptos" w:hAnsi="Aptos"/>
          <w:b/>
          <w:bCs/>
          <w:i w:val="false"/>
          <w:iCs w:val="false"/>
          <w:caps/>
          <w:color w:val="1F5A75"/>
          <w:sz w:val="18"/>
          <w:szCs w:val="18"/>
        </w:rPr>
        <w:t xml:space="preserve">SÍNTESIS DE SECCIÓN</w:t>
      </w:r>
    </w:p>
    <w:p>
      <w:pPr>
        <w:pBdr>
          <w:bottom w:val="single" w:color="E6EDF1" w:sz="3" w:space="0"/>
        </w:pBdr>
        <w:spacing w:after="120"/>
      </w:pP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Comparabilidad</w:t>
            </w:r>
          </w:p>
          <w:p>
            <w:pPr>
              <w:spacing w:after="60" w:line="317"/>
              <w:ind w:left="100"/>
            </w:pPr>
            <w:r>
              <w:rPr>
                <w:rFonts w:ascii="Aptos" w:cs="Aptos" w:eastAsia="Aptos" w:hAnsi="Aptos"/>
                <w:b/>
                <w:bCs/>
                <w:i w:val="false"/>
                <w:iCs w:val="false"/>
                <w:caps w:val="false"/>
                <w:color w:val="1F5A75"/>
                <w:sz w:val="21"/>
                <w:szCs w:val="21"/>
              </w:rPr>
              <w:t xml:space="preserve">Nivel:  </w:t>
            </w:r>
            <w:r>
              <w:rPr>
                <w:rFonts w:ascii="Aptos" w:cs="Aptos" w:eastAsia="Aptos" w:hAnsi="Aptos"/>
                <w:b w:val="false"/>
                <w:bCs w:val="false"/>
                <w:i w:val="false"/>
                <w:iCs w:val="false"/>
                <w:caps w:val="false"/>
                <w:color w:val="1F2933"/>
                <w:sz w:val="21"/>
                <w:szCs w:val="21"/>
              </w:rPr>
              <w:t xml:space="preserve">No comparable</w:t>
            </w:r>
          </w:p>
          <w:p>
            <w:pPr>
              <w:spacing w:after="60" w:line="317"/>
              <w:ind w:left="100"/>
            </w:pPr>
            <w:r>
              <w:rPr>
                <w:rFonts w:ascii="Aptos" w:cs="Aptos" w:eastAsia="Aptos" w:hAnsi="Aptos"/>
                <w:b/>
                <w:bCs/>
                <w:i w:val="false"/>
                <w:iCs w:val="false"/>
                <w:caps w:val="false"/>
                <w:color w:val="1F5A75"/>
                <w:sz w:val="21"/>
                <w:szCs w:val="21"/>
              </w:rPr>
              <w:t xml:space="preserve">Justificación:  </w:t>
            </w:r>
            <w:r>
              <w:rPr>
                <w:rFonts w:ascii="Aptos" w:cs="Aptos" w:eastAsia="Aptos" w:hAnsi="Aptos"/>
                <w:b w:val="false"/>
                <w:bCs w:val="false"/>
                <w:i w:val="false"/>
                <w:iCs w:val="false"/>
                <w:caps w:val="false"/>
                <w:color w:val="1F2933"/>
                <w:sz w:val="21"/>
                <w:szCs w:val="21"/>
              </w:rPr>
              <w:t xml:space="preserve">Artículo único. No aplica evaluación de comparabilidad.</w:t>
            </w:r>
          </w:p>
        </w:tc>
      </w:tr>
    </w:tbl>
    <w:p>
      <w:pPr>
        <w:spacing w:after="120" w:line="317"/>
        <w:jc w:val="both"/>
      </w:pPr>
      <w:r>
        <w:rPr>
          <w:rFonts w:ascii="Aptos" w:cs="Aptos" w:eastAsia="Aptos" w:hAnsi="Aptos"/>
          <w:b w:val="false"/>
          <w:bCs w:val="false"/>
          <w:i w:val="false"/>
          <w:iCs w:val="false"/>
          <w:caps w:val="false"/>
          <w:color w:val="1F2933"/>
          <w:sz w:val="21"/>
          <w:szCs w:val="21"/>
        </w:rPr>
        <w:t xml:space="preserve">Artículo único que funciona como nota clínica ilustrativa. No aporta nueva evidencia cuantitativa sobre la eficacia de los mini-implantes, pero refuerza el concepto de versatilidad y reutilización secuencial.</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Premortem</w:t>
            </w:r>
          </w:p>
          <w:p>
            <w:pPr>
              <w:spacing w:after="60" w:line="317"/>
              <w:ind w:left="100"/>
            </w:pPr>
            <w:r>
              <w:rPr>
                <w:rFonts w:ascii="Aptos" w:cs="Aptos" w:eastAsia="Aptos" w:hAnsi="Aptos"/>
                <w:b/>
                <w:bCs/>
                <w:i w:val="false"/>
                <w:iCs w:val="false"/>
                <w:caps w:val="false"/>
                <w:color w:val="1F5A75"/>
                <w:sz w:val="21"/>
                <w:szCs w:val="21"/>
              </w:rPr>
              <w:t xml:space="preserve">Riesgo principal:  </w:t>
            </w:r>
            <w:r>
              <w:rPr>
                <w:rFonts w:ascii="Aptos" w:cs="Aptos" w:eastAsia="Aptos" w:hAnsi="Aptos"/>
                <w:b w:val="false"/>
                <w:bCs w:val="false"/>
                <w:i w:val="false"/>
                <w:iCs w:val="false"/>
                <w:caps w:val="false"/>
                <w:color w:val="1F2933"/>
                <w:sz w:val="21"/>
                <w:szCs w:val="21"/>
              </w:rPr>
              <w:t xml:space="preserve">No aplica (artículo único ilustrativo).</w:t>
            </w:r>
          </w:p>
          <w:p>
            <w:pPr>
              <w:spacing w:after="60" w:line="317"/>
              <w:ind w:left="100"/>
            </w:pPr>
            <w:r>
              <w:rPr>
                <w:rFonts w:ascii="Aptos" w:cs="Aptos" w:eastAsia="Aptos" w:hAnsi="Aptos"/>
                <w:b/>
                <w:bCs/>
                <w:i w:val="false"/>
                <w:iCs w:val="false"/>
                <w:caps w:val="false"/>
                <w:color w:val="1F5A75"/>
                <w:sz w:val="21"/>
                <w:szCs w:val="21"/>
              </w:rPr>
              <w:t xml:space="preserve">Datos faltantes:  </w:t>
            </w:r>
            <w:r>
              <w:rPr>
                <w:rFonts w:ascii="Aptos" w:cs="Aptos" w:eastAsia="Aptos" w:hAnsi="Aptos"/>
                <w:b w:val="false"/>
                <w:bCs w:val="false"/>
                <w:i w:val="false"/>
                <w:iCs w:val="false"/>
                <w:caps w:val="false"/>
                <w:color w:val="1F2933"/>
                <w:sz w:val="21"/>
                <w:szCs w:val="21"/>
              </w:rPr>
              <w:t xml:space="preserve">No aplica.</w:t>
            </w:r>
          </w:p>
          <w:p>
            <w:pPr>
              <w:spacing w:after="60" w:line="317"/>
              <w:ind w:left="100"/>
            </w:pPr>
            <w:r>
              <w:rPr>
                <w:rFonts w:ascii="Aptos" w:cs="Aptos" w:eastAsia="Aptos" w:hAnsi="Aptos"/>
                <w:b/>
                <w:bCs/>
                <w:i w:val="false"/>
                <w:iCs w:val="false"/>
                <w:caps w:val="false"/>
                <w:color w:val="1F5A75"/>
                <w:sz w:val="21"/>
                <w:szCs w:val="21"/>
              </w:rPr>
              <w:t xml:space="preserve">Riesgo de sesgo:  </w:t>
            </w:r>
            <w:r>
              <w:rPr>
                <w:rFonts w:ascii="Aptos" w:cs="Aptos" w:eastAsia="Aptos" w:hAnsi="Aptos"/>
                <w:b w:val="false"/>
                <w:bCs w:val="false"/>
                <w:i w:val="false"/>
                <w:iCs w:val="false"/>
                <w:caps w:val="false"/>
                <w:color w:val="1F2933"/>
                <w:sz w:val="21"/>
                <w:szCs w:val="21"/>
              </w:rPr>
              <w:t xml:space="preserve">No aplica.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1F5A75" w:sz="16"/>
              <w:bottom w:val="none" w:color="FFFFFF" w:sz="0"/>
              <w:right w:val="none" w:color="FFFFFF" w:sz="0"/>
            </w:tcBorders>
            <w:shd w:fill="F4F8FA" w:val="clear"/>
            <w:tcMar>
              <w:top w:type="dxa" w:w="100"/>
              <w:left w:type="dxa" w:w="200"/>
              <w:bottom w:type="dxa" w:w="100"/>
              <w:right w:type="dxa" w:w="140"/>
            </w:tcMar>
          </w:tcPr>
          <w:p>
            <w:pPr>
              <w:spacing w:after="30" w:line="276"/>
            </w:pPr>
            <w:r>
              <w:rPr>
                <w:rFonts w:ascii="Aptos" w:cs="Aptos" w:eastAsia="Aptos" w:hAnsi="Aptos"/>
                <w:b/>
                <w:bCs/>
                <w:i w:val="false"/>
                <w:iCs w:val="false"/>
                <w:caps/>
                <w:color w:val="1F5A75"/>
                <w:sz w:val="18"/>
                <w:szCs w:val="18"/>
              </w:rPr>
              <w:t xml:space="preserve">IDEA CLAVE</w:t>
            </w:r>
          </w:p>
          <w:p>
            <w:pPr>
              <w:spacing w:after="0" w:line="288"/>
            </w:pPr>
            <w:r>
              <w:rPr>
                <w:rFonts w:ascii="Aptos Display" w:cs="Aptos Display" w:eastAsia="Aptos Display" w:hAnsi="Aptos Display"/>
                <w:b/>
                <w:bCs/>
                <w:i w:val="false"/>
                <w:iCs w:val="false"/>
                <w:caps w:val="false"/>
                <w:color w:val="1F2933"/>
                <w:sz w:val="25"/>
                <w:szCs w:val="25"/>
              </w:rPr>
              <w:t xml:space="preserve">Valor exclusivamente ilustrativo. No modifica el cuerpo de evidencia existente.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 del Grupo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Ilustrativo. No aporta nueva evidencia para decisiones clínicas.</w:t>
            </w:r>
          </w:p>
        </w:tc>
      </w:tr>
    </w:tbl>
    <w:p>
      <w:r>
        <w:br w:type="page"/>
      </w:r>
    </w:p>
    <w:p>
      <w:pPr>
        <w:spacing w:after="100" w:before="1800" w:line="252"/>
      </w:pPr>
      <w:r>
        <w:rPr>
          <w:rFonts w:ascii="Aptos Display" w:cs="Aptos Display" w:eastAsia="Aptos Display" w:hAnsi="Aptos Display"/>
          <w:b/>
          <w:bCs/>
          <w:i w:val="false"/>
          <w:iCs w:val="false"/>
          <w:caps w:val="false"/>
          <w:color w:val="E6EDF1"/>
          <w:sz w:val="80"/>
          <w:szCs w:val="80"/>
        </w:rPr>
        <w:t xml:space="preserve">05</w:t>
      </w:r>
    </w:p>
    <w:p>
      <w:pPr>
        <w:spacing w:after="60" w:line="276"/>
      </w:pPr>
      <w:r>
        <w:rPr>
          <w:rFonts w:ascii="Aptos" w:cs="Aptos" w:eastAsia="Aptos" w:hAnsi="Aptos"/>
          <w:b/>
          <w:bCs/>
          <w:i w:val="false"/>
          <w:iCs w:val="false"/>
          <w:caps/>
          <w:color w:val="1F5A75"/>
          <w:sz w:val="18"/>
          <w:szCs w:val="18"/>
        </w:rPr>
        <w:t xml:space="preserve">SECCIÓN 05</w:t>
      </w:r>
    </w:p>
    <w:p>
      <w:pPr>
        <w:pBdr>
          <w:bottom w:val="single" w:color="1F5A75" w:sz="6" w:space="0"/>
        </w:pBdr>
        <w:spacing w:after="160"/>
      </w:pPr>
    </w:p>
    <w:p>
      <w:pPr>
        <w:pStyle w:val="Heading1"/>
        <w:keepNext/>
        <w:keepLines/>
        <w:spacing w:after="160" w:line="252"/>
      </w:pPr>
      <w:r>
        <w:rPr>
          <w:rFonts w:ascii="Aptos Display" w:cs="Aptos Display" w:eastAsia="Aptos Display" w:hAnsi="Aptos Display"/>
          <w:b/>
          <w:bCs/>
          <w:i w:val="false"/>
          <w:iCs w:val="false"/>
          <w:caps w:val="false"/>
          <w:color w:val="1F2933"/>
          <w:sz w:val="38"/>
          <w:szCs w:val="38"/>
        </w:rPr>
        <w:t xml:space="preserve">MARPE — Expansión Palatina con Miniscrews</w:t>
      </w:r>
    </w:p>
    <w:p>
      <w:pPr>
        <w:spacing w:after="0" w:line="312"/>
      </w:pPr>
      <w:r>
        <w:rPr>
          <w:rFonts w:ascii="Aptos" w:cs="Aptos" w:eastAsia="Aptos" w:hAnsi="Aptos"/>
          <w:b w:val="false"/>
          <w:bCs w:val="false"/>
          <w:i/>
          <w:iCs/>
          <w:caps w:val="false"/>
          <w:color w:val="5B6B79"/>
          <w:sz w:val="21"/>
          <w:szCs w:val="21"/>
        </w:rPr>
        <w:t xml:space="preserve">Cinco artículos abordan el MARPE desde ángulos complementarios: efectos esqueléticos/dentales (revisión), complicaciones periodontales (RS), impacto en vía aérea (RS), tejido blando facial (ECA), y comparación MSE vs ...</w:t>
      </w:r>
    </w:p>
    <w:p>
      <w:r>
        <w:br w:type="page"/>
      </w:r>
    </w:p>
    <w:p>
      <w:pPr>
        <w:spacing w:after="120" w:line="317"/>
        <w:jc w:val="both"/>
      </w:pPr>
      <w:r>
        <w:rPr>
          <w:rFonts w:ascii="Aptos" w:cs="Aptos" w:eastAsia="Aptos" w:hAnsi="Aptos"/>
          <w:b w:val="false"/>
          <w:bCs w:val="false"/>
          <w:i w:val="false"/>
          <w:iCs w:val="false"/>
          <w:caps w:val="false"/>
          <w:color w:val="1F2933"/>
          <w:sz w:val="21"/>
          <w:szCs w:val="21"/>
        </w:rPr>
        <w:t xml:space="preserve">Cinco artículos abordan el MARPE desde ángulos complementarios: efectos esqueléticos/dentales (revisión), complicaciones periodontales (RS), impacto en vía aérea (RS), tejido blando facial (ECA), y comparación MSE vs FAVEX (ECA). Es el grupo con mayor volumen de evidencia y relevancia clínica directa.</w:t>
      </w:r>
    </w:p>
    <w:p>
      <w:pPr>
        <w:spacing w:after="100" w:line="317"/>
      </w:pPr>
      <w:r>
        <w:rPr>
          <w:rFonts w:ascii="Aptos" w:cs="Aptos" w:eastAsia="Aptos" w:hAnsi="Aptos"/>
          <w:b/>
          <w:bCs/>
          <w:i w:val="false"/>
          <w:iCs w:val="false"/>
          <w:caps w:val="false"/>
          <w:color w:val="1F5A75"/>
          <w:sz w:val="21"/>
          <w:szCs w:val="21"/>
        </w:rPr>
        <w:t xml:space="preserve">5 artículos analizados</w:t>
      </w:r>
      <w:r>
        <w:rPr>
          <w:rFonts w:ascii="Aptos" w:cs="Aptos" w:eastAsia="Aptos" w:hAnsi="Aptos"/>
          <w:b w:val="false"/>
          <w:bCs w:val="false"/>
          <w:i w:val="false"/>
          <w:iCs w:val="false"/>
          <w:caps w:val="false"/>
          <w:color w:val="5B6B79"/>
          <w:sz w:val="21"/>
          <w:szCs w:val="21"/>
        </w:rPr>
        <w:t xml:space="preserve"> — Diseños: Revisión narrativa con criterios de validación (OCEBM + QUADAS-2) [DE], Revisión sistemática PRISMA (ROBINS-I + RoB 2 + GRADE) [DE], RS PRISMA 2020 [DE], Análisis secundario de ECA [DE]. Registro ReBEC [DE], ECA paralelo 2 brazos, aleatorización por bloques 1:1 [DE]. Registro CTRI [DE]</w:t>
      </w:r>
    </w:p>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10. Lopez-Jimenez AJ et al. (2026)</w:t>
      </w:r>
    </w:p>
    <w:p>
      <w:pPr>
        <w:spacing w:after="100" w:line="317"/>
        <w:ind w:left="100"/>
      </w:pPr>
      <w:r>
        <w:rPr>
          <w:rFonts w:ascii="Aptos" w:cs="Aptos" w:eastAsia="Aptos" w:hAnsi="Aptos"/>
          <w:b w:val="false"/>
          <w:bCs w:val="false"/>
          <w:i/>
          <w:iCs/>
          <w:caps w:val="false"/>
          <w:color w:val="5B6B79"/>
          <w:sz w:val="21"/>
          <w:szCs w:val="21"/>
        </w:rPr>
        <w:t xml:space="preserve">Skeletal, dentoalveolar, dental, and soft-tissue effects following MARPE treatment: A review</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indexado MEDLINE</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Evaluar efectos dentales, dentoalveolares, esqueléticos y de tejido blando del MARPE en adultos jóvenes</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Revisión narrativa con criterios de validación (OCEBM + QUADAS-2)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11 artículos seleccionados de 426 revisados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MARPE</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MARPE eficaz para corrección transversal en adultos jóvenes; tasa de éxito disminuye significativamente después de los 30 años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Revisión narrativa de 11 artículos sobre los efectos multiplano del MARPE. Confirma eficacia transversal en adultos jóvenes con aumentos en todas las áreas medidas. La principal limitación es la dependencia de la edad: el éxito cae significativamente a partir de los 30 años.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Bajo — Revisión narrativa (no sistemática) con herramientas de valoración de calidad aplicadas, pero heterogeneidad de dispositivos y evidencia base limitada.</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Selección (Posible); Reporte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Uso de OCEBM + QUADAS-2 para validar estudios incluidos; Mensaje clínico claro sobre dependencia de edad</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Revisión narrativa, no sistemática; Solo 11 artículos de 426; Heterogeneidad de dispositivos MARPE; Sin meta-análisis</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Baja-moderada. El hallazgo sobre edad es consistente pero basado en evidencia heterogénea.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MARPE eficaz en adultos jóvenes; el éxito disminuye significativamente &gt;30 años.</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Considerar edad como factor principal en indicación de MARPE.</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Datos insuficientes para establecer un punto de corte de edad preciso.</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Media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MARPE eficaz &lt;30 años. &gt;30 años: éxito incierto. Considerar edad como factor decisivo.</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11. Frenna B et al. (2026)</w:t>
      </w:r>
    </w:p>
    <w:p>
      <w:pPr>
        <w:spacing w:after="100" w:line="317"/>
        <w:ind w:left="100"/>
      </w:pPr>
      <w:r>
        <w:rPr>
          <w:rFonts w:ascii="Aptos" w:cs="Aptos" w:eastAsia="Aptos" w:hAnsi="Aptos"/>
          <w:b w:val="false"/>
          <w:bCs w:val="false"/>
          <w:i/>
          <w:iCs/>
          <w:caps w:val="false"/>
          <w:color w:val="5B6B79"/>
          <w:sz w:val="21"/>
          <w:szCs w:val="21"/>
        </w:rPr>
        <w:t xml:space="preserve">Diagnostic assessment of periodontal and dentoalveolar complications following MARPE in adults and late adolescents: SR</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Evaluar métodos diagnósticos y complicaciones del MARPE en adolescentes tardíos y adultos</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Revisión sistemática PRISMA (ROBINS-I + RoB 2 + GRADE)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20 estudios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MARPE</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Tipping dental frecuente. Pérdida ósea: 11/20 estudios. Dehiscencia: 3/20. Fracaso apertura sutura: 6/20. Certeza GRADE: baja a muy baja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RS PRISMA de 20 estudios sobre complicaciones del MARPE. El tipping dental es la complicación más frecuente. La pérdida ósea alveolar se reporta en más de la mitad de los estudios. El fracaso de apertura de sutura ocurre en casi un tercio. La certeza de la evidencia es baja a muy baja según GRADE.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Moderado — RS con PRISMA + GRADE + herramientas de riesgo de sesgo. Limitada por la baja calidad de los estudios primarios.</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Reporte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Metodología robusta (PRISMA + GRADE + ROBINS-I + RoB 2); 20 estudios incluidos — cobertura amplia; Evaluación de certeza de evidencia explícita</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Los estudios primarios tienen alto riesgo de sesgo; Seguimiento limitado o ausente en la mayoría; Heterogeneidad metodológica impide meta-análisis; Certeza GRADE baja a muy baja</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Moderada para la RS como tal; baja para los hallazgos individuales por la calidad de la evidencia base.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El MARPE tiene complicaciones periodontales y alveolares frecuentes que requieren monitoreo activo.</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Todo paciente con MARPE debe tener seguimiento periodontal y CBCT integrado.</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La frecuencia real de complicaciones puede estar subestimada por seguimiento insuficiente.</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Alta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MARPE tiene complicaciones periodontales frecuentes. Monitoreo activo obligatorio. Evidencia base débil.</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12. Al-Madani NN et al. (2025)</w:t>
      </w:r>
    </w:p>
    <w:p>
      <w:pPr>
        <w:spacing w:after="100" w:line="317"/>
        <w:ind w:left="100"/>
      </w:pPr>
      <w:r>
        <w:rPr>
          <w:rFonts w:ascii="Aptos" w:cs="Aptos" w:eastAsia="Aptos" w:hAnsi="Aptos"/>
          <w:b w:val="false"/>
          <w:bCs w:val="false"/>
          <w:i/>
          <w:iCs/>
          <w:caps w:val="false"/>
          <w:color w:val="5B6B79"/>
          <w:sz w:val="21"/>
          <w:szCs w:val="21"/>
        </w:rPr>
        <w:t xml:space="preserve">Impact of bone-borne and MARPE on airway dimensions and post-expansion stability: CBCT SR</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financiación [DE]</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Sintetizar evidencia CBCT sobre cambios en vía aérea y estabilidad post-expansión</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RS PRISMA 2020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17 estudios (14 datasets únicos); 12-102 participantes/estudio; 8-33 años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MARPE y expansores óseos</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Aumentos nasal/nasofaríngeo a corto-medio plazo. Cambios orofaríngeos inconsistentes. Certeza baja a muy baja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RS de 17 estudios CBCT sobre MARPE y vía aérea. Se observan aumentos nasales y nasofaríngeos a corto-medio plazo, pero los cambios orofaríngeos son inconsistentes. A largo plazo, mantenimiento parcial con algo de recidiva. La certeza de la evidencia es baja a muy baja.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Moderado — RS PRISMA 2020 con síntesis narrativa justificada por heterogeneidad. Limitada por calidad de estudios primarios.</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Reporte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PRISMA 2020; 17 estudios con análisis de certeza de evidencia; Reconoce heterogeneidad y evita meta-análisis inapropiado</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Certeza baja a muy baja; Sin estandarización de protocolos CBCT ni definiciones de vía aérea; Sin evaluación funcional (solo dimensional)</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Baja para los hallazgos individuales. Moderada para la conclusión de que la evidencia es insuficiente.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Los beneficios del MARPE sobre vía aérea no están suficientemente respaldados por evidencia.</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El MARPE NO debe indicarse exclusivamente por razones de vía aérea.</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Los cambios dimensionales no equivalen a mejoría funcional respiratoria.</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Media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02424"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02424"/>
                <w:sz w:val="24"/>
                <w:szCs w:val="24"/>
              </w:rPr>
              <w:t xml:space="preserve">● </w:t>
            </w:r>
            <w:r>
              <w:rPr>
                <w:rFonts w:ascii="Aptos" w:cs="Aptos" w:eastAsia="Aptos" w:hAnsi="Aptos"/>
                <w:b/>
                <w:bCs/>
                <w:i w:val="false"/>
                <w:iCs w:val="false"/>
                <w:caps w:val="false"/>
                <w:color w:val="C02424"/>
                <w:sz w:val="21"/>
                <w:szCs w:val="21"/>
              </w:rPr>
              <w:t xml:space="preserve">ROJO</w:t>
            </w:r>
            <w:r>
              <w:rPr>
                <w:rFonts w:ascii="Aptos" w:cs="Aptos" w:eastAsia="Aptos" w:hAnsi="Aptos"/>
                <w:b w:val="false"/>
                <w:bCs w:val="false"/>
                <w:i w:val="false"/>
                <w:iCs w:val="false"/>
                <w:caps w:val="false"/>
                <w:color w:val="5B6B79"/>
                <w:sz w:val="21"/>
                <w:szCs w:val="21"/>
              </w:rPr>
              <w:t xml:space="preserve">  —  No indicar MARPE exclusivamente para mejorar vía aérea. Evidencia insuficiente para este objetivo.</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13. Silva I et al. (2026)</w:t>
      </w:r>
    </w:p>
    <w:p>
      <w:pPr>
        <w:spacing w:after="100" w:line="317"/>
        <w:ind w:left="100"/>
      </w:pPr>
      <w:r>
        <w:rPr>
          <w:rFonts w:ascii="Aptos" w:cs="Aptos" w:eastAsia="Aptos" w:hAnsi="Aptos"/>
          <w:b w:val="false"/>
          <w:bCs w:val="false"/>
          <w:i/>
          <w:iCs/>
          <w:caps w:val="false"/>
          <w:color w:val="5B6B79"/>
          <w:sz w:val="21"/>
          <w:szCs w:val="21"/>
        </w:rPr>
        <w:t xml:space="preserve">3D facial soft tissue changes following 2 vs 4 miniscrew-anchored RME in late adolescence: RCT secondary analysis</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Evaluar cambios de tejido blando facial 3D con HH (2 miniscrews) vs MARPE (4 miniscrews)</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Análisis secundario de ECA [DE]. Registro ReBEC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22 pacientes (HH n=11, MARPE n=11). Media 16,2-16,7 años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HH con 2 miniscrews palatinos vs MARPE con 4 miniscrews</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Ambos grupos: patrones similares. Base nasal (HH: 1,5mm; MARPE: 1,9mm). Intercomisural (HH: 1,6mm; MARPE: 2,4mm). Sin diferencias significativas entre grupos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Análisis secundario de ECA comparando cambios faciales 3D con HH (2 miniscrews) vs MARPE (4 miniscrews) en 22 adolescentes tardíos. Ambos protocolos producen cambios equivalentes en tejido blando facial. El número de miniscrews (2 vs 4) no condiciona los efectos sobre tejido blando.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Moderado — Análisis secundario de ECA registrado, con estereofotogrametría 3D y análisis intention-to-treat. Limitado por n=22 y análisis post-hoc.</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ECA registrado con ITT; Estereofotogrametría 3D (medición objetiva); 3 puntos temporales (T1, T2, T3)</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N=22 (pequeño); Análisis secundario — no diseñado para esta pregunta primariamente; Sin grupo control no tratado; Solo adolescentes tardíos — no extrapolable a adultos</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Moderada. Diseño fuerte pero potencia estadística limitada.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2 o 4 miniscrews palatinos producen efectos equivalentes en tejido blando.</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La elección entre HH y MARPE puede basarse en otros criterios (esquelético, dental) sin preocupación diferencial por tejido blando.</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Solo válido para adolescentes tardíos.</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Media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0D7C5F"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0D7C5F"/>
                <w:sz w:val="24"/>
                <w:szCs w:val="24"/>
              </w:rPr>
              <w:t xml:space="preserve">● </w:t>
            </w:r>
            <w:r>
              <w:rPr>
                <w:rFonts w:ascii="Aptos" w:cs="Aptos" w:eastAsia="Aptos" w:hAnsi="Aptos"/>
                <w:b/>
                <w:bCs/>
                <w:i w:val="false"/>
                <w:iCs w:val="false"/>
                <w:caps w:val="false"/>
                <w:color w:val="0D7C5F"/>
                <w:sz w:val="21"/>
                <w:szCs w:val="21"/>
              </w:rPr>
              <w:t xml:space="preserve">VERDE</w:t>
            </w:r>
            <w:r>
              <w:rPr>
                <w:rFonts w:ascii="Aptos" w:cs="Aptos" w:eastAsia="Aptos" w:hAnsi="Aptos"/>
                <w:b w:val="false"/>
                <w:bCs w:val="false"/>
                <w:i w:val="false"/>
                <w:iCs w:val="false"/>
                <w:caps w:val="false"/>
                <w:color w:val="5B6B79"/>
                <w:sz w:val="21"/>
                <w:szCs w:val="21"/>
              </w:rPr>
              <w:t xml:space="preserve">  —  HH y MARPE equivalentes en tejido blando. Elegir según criterios esqueléticos/dentales.</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17. Kandy BK et al. (2026)</w:t>
      </w:r>
    </w:p>
    <w:p>
      <w:pPr>
        <w:spacing w:after="100" w:line="317"/>
        <w:ind w:left="100"/>
      </w:pPr>
      <w:r>
        <w:rPr>
          <w:rFonts w:ascii="Aptos" w:cs="Aptos" w:eastAsia="Aptos" w:hAnsi="Aptos"/>
          <w:b w:val="false"/>
          <w:bCs w:val="false"/>
          <w:i/>
          <w:iCs/>
          <w:caps w:val="false"/>
          <w:color w:val="5B6B79"/>
          <w:sz w:val="21"/>
          <w:szCs w:val="21"/>
        </w:rPr>
        <w:t xml:space="preserve">Comparative evaluation of MSE vs FAVEX expansion: RCT</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Comparar cambios esqueléticos, dentoalveolares y dentales entre MSE y FAVEX</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ECA paralelo 2 brazos, aleatorización por bloques 1:1 [DE]. Registro CTRI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28 pacientes (MSE n=14, FAVEX n=14)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MSE con 4 miniscrews</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MSE superior en anchura nasal, maxilar y expansión de sutura (p&lt;0,05). FAVEX: mayor tipping bucal (p&lt;0,05). Ambos logran expansión esquelética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ECA registrado comparando MSE (4 miniscrews) vs FAVEX (6 miniscrews) en 28 pacientes. El MSE produjo resultados esqueléticos significativamente superiores (anchura nasal, maxilar, expansión sutural) con menos tipping dental. Más miniscrews (FAVEX 6) no equivale a mejores resultados esqueléticos.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Moderado — ECA registrado, aleatorización por bloques, 33 parámetros CBCT. Limitado por n=28.</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ECA registrado con aleatorización por bloques; 33 parámetros CBCT — evaluación exhaustiva; Comparación directa de 2 diseños de expansor</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N=28 (pequeño); Sin grupo control no tratado; No reporta tasa de complicaciones; Seguimiento no detallado en abstract</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Moderada. Diseño sólido para la pregunta planteada pero potencia limitada.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El MSE con 4 miniscrews produce mejores resultados esqueléticos y menos tipping que FAVEX con 6.</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Apoya preferencia por MSE sobre FAVEX en expansión maxilar esquelética.</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N pequeño; no evalúa complicaciones periodontales.</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Alta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0D7C5F"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0D7C5F"/>
                <w:sz w:val="24"/>
                <w:szCs w:val="24"/>
              </w:rPr>
              <w:t xml:space="preserve">● </w:t>
            </w:r>
            <w:r>
              <w:rPr>
                <w:rFonts w:ascii="Aptos" w:cs="Aptos" w:eastAsia="Aptos" w:hAnsi="Aptos"/>
                <w:b/>
                <w:bCs/>
                <w:i w:val="false"/>
                <w:iCs w:val="false"/>
                <w:caps w:val="false"/>
                <w:color w:val="0D7C5F"/>
                <w:sz w:val="21"/>
                <w:szCs w:val="21"/>
              </w:rPr>
              <w:t xml:space="preserve">VERDE</w:t>
            </w:r>
            <w:r>
              <w:rPr>
                <w:rFonts w:ascii="Aptos" w:cs="Aptos" w:eastAsia="Aptos" w:hAnsi="Aptos"/>
                <w:b w:val="false"/>
                <w:bCs w:val="false"/>
                <w:i w:val="false"/>
                <w:iCs w:val="false"/>
                <w:caps w:val="false"/>
                <w:color w:val="5B6B79"/>
                <w:sz w:val="21"/>
                <w:szCs w:val="21"/>
              </w:rPr>
              <w:t xml:space="preserve">  —  MSE (4 miniscrews) superior a FAVEX (6 miniscrews) en resultados esqueléticos y menos tipping.</w:t>
            </w:r>
          </w:p>
        </w:tc>
      </w:tr>
    </w:tbl>
    <w:p>
      <w:pPr>
        <w:spacing w:after="60" w:before="300" w:line="276"/>
      </w:pPr>
      <w:r>
        <w:rPr>
          <w:rFonts w:ascii="Aptos" w:cs="Aptos" w:eastAsia="Aptos" w:hAnsi="Aptos"/>
          <w:b/>
          <w:bCs/>
          <w:i w:val="false"/>
          <w:iCs w:val="false"/>
          <w:caps/>
          <w:color w:val="1F5A75"/>
          <w:sz w:val="18"/>
          <w:szCs w:val="18"/>
        </w:rPr>
        <w:t xml:space="preserve">SÍNTESIS DE SECCIÓN</w:t>
      </w:r>
    </w:p>
    <w:p>
      <w:pPr>
        <w:pBdr>
          <w:bottom w:val="single" w:color="E6EDF1" w:sz="3" w:space="0"/>
        </w:pBdr>
        <w:spacing w:after="120"/>
      </w:pPr>
    </w:p>
    <w:tbl>
      <w:tblPr>
        <w:tblW w:type="dxa" w:w="9524"/>
        <w:tblBorders>
          <w:top w:val="none" w:color="FFFFFF" w:sz="0"/>
          <w:left w:val="none" w:color="FFFFFF" w:sz="0"/>
          <w:bottom w:val="single" w:color="1F5A75" w:sz="4"/>
          <w:right w:val="none" w:color="FFFFFF" w:sz="0"/>
          <w:insideH w:val="single" w:color="DCE6EB" w:sz="3"/>
          <w:insideV w:val="none" w:color="FFFFFF" w:sz="0"/>
        </w:tblBorders>
      </w:tblPr>
      <w:tblGrid>
        <w:gridCol w:w="3174"/>
        <w:gridCol w:w="3174"/>
        <w:gridCol w:w="3176"/>
      </w:tblGrid>
      <w:tr>
        <w:trPr>
          <w:cantSplit/>
        </w:trPr>
        <w:tc>
          <w:tcPr>
            <w:tcW w:type="dxa" w:w="9524"/>
            <w:gridSpan w:val="3"/>
            <w:tcBorders>
              <w:top w:val="none" w:color="FFFFFF" w:sz="0"/>
              <w:left w:val="none" w:color="FFFFFF" w:sz="0"/>
              <w:bottom w:val="none" w:color="FFFFFF" w:sz="0"/>
              <w:right w:val="none" w:color="FFFFFF" w:sz="0"/>
            </w:tcBorders>
            <w:tcMar>
              <w:top w:type="dxa" w:w="140"/>
              <w:left w:type="dxa" w:w="0"/>
              <w:bottom w:type="dxa" w:w="50"/>
              <w:right w:type="dxa" w:w="0"/>
            </w:tcMar>
          </w:tcPr>
          <w:p>
            <w:pPr>
              <w:spacing w:after="20" w:line="276"/>
            </w:pPr>
            <w:r>
              <w:rPr>
                <w:rFonts w:ascii="Aptos" w:cs="Aptos" w:eastAsia="Aptos" w:hAnsi="Aptos"/>
                <w:b/>
                <w:bCs/>
                <w:i w:val="false"/>
                <w:iCs w:val="false"/>
                <w:caps/>
                <w:color w:val="1F5A75"/>
                <w:sz w:val="18"/>
                <w:szCs w:val="18"/>
              </w:rPr>
              <w:t xml:space="preserve">EXHIBIT 6</w:t>
            </w:r>
          </w:p>
          <w:p>
            <w:pPr>
              <w:spacing w:after="0" w:line="288"/>
            </w:pPr>
            <w:r>
              <w:rPr>
                <w:rFonts w:ascii="Aptos Display" w:cs="Aptos Display" w:eastAsia="Aptos Display" w:hAnsi="Aptos Display"/>
                <w:b/>
                <w:bCs/>
                <w:i w:val="false"/>
                <w:iCs w:val="false"/>
                <w:caps w:val="false"/>
                <w:color w:val="1F2933"/>
                <w:sz w:val="25"/>
                <w:szCs w:val="25"/>
              </w:rPr>
              <w:t xml:space="preserve">Comparabilidad entre Estudios</w:t>
            </w:r>
          </w:p>
        </w:tc>
      </w:tr>
      <w:tr>
        <w:trPr>
          <w:cantSplit/>
          <w:tblHeader/>
          <w:trHeight w:val="320" w:hRule="atLeast"/>
        </w:trPr>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Eje</w:t>
            </w:r>
          </w:p>
        </w:tc>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Evaluación</w:t>
            </w:r>
          </w:p>
        </w:tc>
        <w:tc>
          <w:tcPr>
            <w:tcW w:type="dxa" w:w="3176"/>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Comentario</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1. Misma pregunta</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abordan MARPE pero desde ángulos distintos (efectos, complicaciones, vía aérea, tejido blando, diseño de expansor).</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 Población similar</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Adolescentes tardíos y adultos jóvenes en todos, pero rangos de edad variables.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3. Intervención comparable</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Sí</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evalúan MARPE o variantes.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4. Comparador comparable</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Cada estudio tiene comparadores distintos o es pre-post.</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5. Desenlaces comparables</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Efectos esqueléticos, complicaciones periodontales, vía aérea, tejido blando, diseño de expansor — desenlaces distintos.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6. Diseño alineado</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 ECA, 2 RS, 1 revisión narrativa.</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7. Finalidad similar</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Sí</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informan decisiones sobre indicación y manejo del MARPE.</w:t>
            </w:r>
          </w:p>
        </w:tc>
      </w:tr>
    </w:tbl>
    <w:p>
      <w:pPr>
        <w:spacing w:after="60" w:line="317"/>
        <w:ind w:left="100"/>
      </w:pPr>
      <w:r>
        <w:rPr>
          <w:rFonts w:ascii="Aptos" w:cs="Aptos" w:eastAsia="Aptos" w:hAnsi="Aptos"/>
          <w:b/>
          <w:bCs/>
          <w:i w:val="false"/>
          <w:iCs w:val="false"/>
          <w:caps w:val="false"/>
          <w:color w:val="1F5A75"/>
          <w:sz w:val="21"/>
          <w:szCs w:val="21"/>
        </w:rPr>
        <w:t xml:space="preserve">Nivel:  </w:t>
      </w:r>
      <w:r>
        <w:rPr>
          <w:rFonts w:ascii="Aptos" w:cs="Aptos" w:eastAsia="Aptos" w:hAnsi="Aptos"/>
          <w:b w:val="false"/>
          <w:bCs w:val="false"/>
          <w:i w:val="false"/>
          <w:iCs w:val="false"/>
          <w:caps w:val="false"/>
          <w:color w:val="1F2933"/>
          <w:sz w:val="21"/>
          <w:szCs w:val="21"/>
        </w:rPr>
        <w:t xml:space="preserve">Parcial</w:t>
      </w:r>
    </w:p>
    <w:p>
      <w:pPr>
        <w:spacing w:after="60" w:line="317"/>
        <w:ind w:left="100"/>
      </w:pPr>
      <w:r>
        <w:rPr>
          <w:rFonts w:ascii="Aptos" w:cs="Aptos" w:eastAsia="Aptos" w:hAnsi="Aptos"/>
          <w:b/>
          <w:bCs/>
          <w:i w:val="false"/>
          <w:iCs w:val="false"/>
          <w:caps w:val="false"/>
          <w:color w:val="1F5A75"/>
          <w:sz w:val="21"/>
          <w:szCs w:val="21"/>
        </w:rPr>
        <w:t xml:space="preserve">Justificación:  </w:t>
      </w:r>
      <w:r>
        <w:rPr>
          <w:rFonts w:ascii="Aptos" w:cs="Aptos" w:eastAsia="Aptos" w:hAnsi="Aptos"/>
          <w:b w:val="false"/>
          <w:bCs w:val="false"/>
          <w:i w:val="false"/>
          <w:iCs w:val="false"/>
          <w:caps w:val="false"/>
          <w:color w:val="1F2933"/>
          <w:sz w:val="21"/>
          <w:szCs w:val="21"/>
        </w:rPr>
        <w:t xml:space="preserve">3 ejes Sí/Parcial incluyendo eje 3. Comparación directa no procede pero síntesis integradora robusta es posible.</w:t>
      </w:r>
    </w:p>
    <w:p>
      <w:pPr>
        <w:spacing w:after="120" w:line="317"/>
        <w:jc w:val="both"/>
      </w:pPr>
      <w:r>
        <w:rPr>
          <w:rFonts w:ascii="Aptos" w:cs="Aptos" w:eastAsia="Aptos" w:hAnsi="Aptos"/>
          <w:b w:val="false"/>
          <w:bCs w:val="false"/>
          <w:i w:val="false"/>
          <w:iCs w:val="false"/>
          <w:caps w:val="false"/>
          <w:color w:val="1F2933"/>
          <w:sz w:val="21"/>
          <w:szCs w:val="21"/>
        </w:rPr>
        <w:t xml:space="preserve">Los 5 artículos construyen un panorama coherente del MARPE: es eficaz para corrección transversal en adultos jóvenes (&lt;30 años), pero con complicaciones periodontales frecuentes (tipping, pérdida ósea alveolar, fracaso de apertura de sutura) que requieren monitoreo activo. Los beneficios sobre vía aérea no están respaldados por evidencia suficiente y no deben ser indicación aislada. El MSE con 4 miniscrews parece superior al FAVEX con 6 en resultados esqueléticos. La elección entre HH (2 miniscrews) y MARPE (4) puede basarse en criterios esqueléticos sin preocupación por tejido blando diferencial. La evidencia base de todo el grupo es de certeza baja a moderada.</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Premortem</w:t>
            </w:r>
          </w:p>
          <w:p>
            <w:pPr>
              <w:spacing w:after="60" w:line="317"/>
              <w:ind w:left="100"/>
            </w:pPr>
            <w:r>
              <w:rPr>
                <w:rFonts w:ascii="Aptos" w:cs="Aptos" w:eastAsia="Aptos" w:hAnsi="Aptos"/>
                <w:b/>
                <w:bCs/>
                <w:i w:val="false"/>
                <w:iCs w:val="false"/>
                <w:caps w:val="false"/>
                <w:color w:val="1F5A75"/>
                <w:sz w:val="21"/>
                <w:szCs w:val="21"/>
              </w:rPr>
              <w:t xml:space="preserve">Riesgo principal:  </w:t>
            </w:r>
            <w:r>
              <w:rPr>
                <w:rFonts w:ascii="Aptos" w:cs="Aptos" w:eastAsia="Aptos" w:hAnsi="Aptos"/>
                <w:b w:val="false"/>
                <w:bCs w:val="false"/>
                <w:i w:val="false"/>
                <w:iCs w:val="false"/>
                <w:caps w:val="false"/>
                <w:color w:val="1F2933"/>
                <w:sz w:val="21"/>
                <w:szCs w:val="21"/>
              </w:rPr>
              <w:t xml:space="preserve">Que la frecuencia real de complicaciones periodontales sea mayor que la reportada (por seguimiento insuficiente en estudios primarios).</w:t>
            </w:r>
          </w:p>
          <w:p>
            <w:pPr>
              <w:spacing w:after="60" w:line="317"/>
              <w:ind w:left="100"/>
            </w:pPr>
            <w:r>
              <w:rPr>
                <w:rFonts w:ascii="Aptos" w:cs="Aptos" w:eastAsia="Aptos" w:hAnsi="Aptos"/>
                <w:b/>
                <w:bCs/>
                <w:i w:val="false"/>
                <w:iCs w:val="false"/>
                <w:caps w:val="false"/>
                <w:color w:val="1F5A75"/>
                <w:sz w:val="21"/>
                <w:szCs w:val="21"/>
              </w:rPr>
              <w:t xml:space="preserve">Datos faltantes:  </w:t>
            </w:r>
            <w:r>
              <w:rPr>
                <w:rFonts w:ascii="Aptos" w:cs="Aptos" w:eastAsia="Aptos" w:hAnsi="Aptos"/>
                <w:b w:val="false"/>
                <w:bCs w:val="false"/>
                <w:i w:val="false"/>
                <w:iCs w:val="false"/>
                <w:caps w:val="false"/>
                <w:color w:val="1F2933"/>
                <w:sz w:val="21"/>
                <w:szCs w:val="21"/>
              </w:rPr>
              <w:t xml:space="preserve">Estudios prospectivos con seguimiento periodontal estandarizado ≥2 años; datos funcionales de vía aérea (no solo dimensionales); punto de corte de edad preciso.</w:t>
            </w:r>
          </w:p>
          <w:p>
            <w:pPr>
              <w:spacing w:after="60" w:line="317"/>
              <w:ind w:left="100"/>
            </w:pPr>
            <w:r>
              <w:rPr>
                <w:rFonts w:ascii="Aptos" w:cs="Aptos" w:eastAsia="Aptos" w:hAnsi="Aptos"/>
                <w:b/>
                <w:bCs/>
                <w:i w:val="false"/>
                <w:iCs w:val="false"/>
                <w:caps w:val="false"/>
                <w:color w:val="1F5A75"/>
                <w:sz w:val="21"/>
                <w:szCs w:val="21"/>
              </w:rPr>
              <w:t xml:space="preserve">Riesgo de sesgo:  </w:t>
            </w:r>
            <w:r>
              <w:rPr>
                <w:rFonts w:ascii="Aptos" w:cs="Aptos" w:eastAsia="Aptos" w:hAnsi="Aptos"/>
                <w:b w:val="false"/>
                <w:bCs w:val="false"/>
                <w:i w:val="false"/>
                <w:iCs w:val="false"/>
                <w:caps w:val="false"/>
                <w:color w:val="1F2933"/>
                <w:sz w:val="21"/>
                <w:szCs w:val="21"/>
              </w:rPr>
              <w:t xml:space="preserve">Posible sesgo de optimismo en los estudios de eficacia; los estudios de complicaciones pueden estar mejor calibrados pero tienen base débil.</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1F5A75" w:sz="16"/>
              <w:bottom w:val="none" w:color="FFFFFF" w:sz="0"/>
              <w:right w:val="none" w:color="FFFFFF" w:sz="0"/>
            </w:tcBorders>
            <w:shd w:fill="F4F8FA" w:val="clear"/>
            <w:tcMar>
              <w:top w:type="dxa" w:w="100"/>
              <w:left w:type="dxa" w:w="200"/>
              <w:bottom w:type="dxa" w:w="100"/>
              <w:right w:type="dxa" w:w="140"/>
            </w:tcMar>
          </w:tcPr>
          <w:p>
            <w:pPr>
              <w:spacing w:after="30" w:line="276"/>
            </w:pPr>
            <w:r>
              <w:rPr>
                <w:rFonts w:ascii="Aptos" w:cs="Aptos" w:eastAsia="Aptos" w:hAnsi="Aptos"/>
                <w:b/>
                <w:bCs/>
                <w:i w:val="false"/>
                <w:iCs w:val="false"/>
                <w:caps/>
                <w:color w:val="1F5A75"/>
                <w:sz w:val="18"/>
                <w:szCs w:val="18"/>
              </w:rPr>
              <w:t xml:space="preserve">IDEA CLAVE</w:t>
            </w:r>
          </w:p>
          <w:p>
            <w:pPr>
              <w:spacing w:after="0" w:line="288"/>
            </w:pPr>
            <w:r>
              <w:rPr>
                <w:rFonts w:ascii="Aptos Display" w:cs="Aptos Display" w:eastAsia="Aptos Display" w:hAnsi="Aptos Display"/>
                <w:b/>
                <w:bCs/>
                <w:i w:val="false"/>
                <w:iCs w:val="false"/>
                <w:caps w:val="false"/>
                <w:color w:val="1F2933"/>
                <w:sz w:val="25"/>
                <w:szCs w:val="25"/>
              </w:rPr>
              <w:t xml:space="preserve">MARPE es eficaz en adultos jóvenes para corrección transversal. La edad &gt;30 años es factor limitante. Las complicaciones periodontales son frecuentes y requieren monitoreo CBCT + periodontal. No indicar MARPE solo por vía aérea. MSE (4 miniscrews) preferible a FAVEX (6). HH y MARPE equivalentes en tejido blando.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 del Grupo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MARPE eficaz &lt;30 años con complicaciones frecuentes. Monitoreo obligatorio. No indicar por vía aérea sola.</w:t>
            </w:r>
          </w:p>
        </w:tc>
      </w:tr>
    </w:tbl>
    <w:p>
      <w:r>
        <w:br w:type="page"/>
      </w:r>
    </w:p>
    <w:p>
      <w:pPr>
        <w:spacing w:after="100" w:before="1800" w:line="252"/>
      </w:pPr>
      <w:r>
        <w:rPr>
          <w:rFonts w:ascii="Aptos Display" w:cs="Aptos Display" w:eastAsia="Aptos Display" w:hAnsi="Aptos Display"/>
          <w:b/>
          <w:bCs/>
          <w:i w:val="false"/>
          <w:iCs w:val="false"/>
          <w:caps w:val="false"/>
          <w:color w:val="E6EDF1"/>
          <w:sz w:val="80"/>
          <w:szCs w:val="80"/>
        </w:rPr>
        <w:t xml:space="preserve">06</w:t>
      </w:r>
    </w:p>
    <w:p>
      <w:pPr>
        <w:spacing w:after="60" w:line="276"/>
      </w:pPr>
      <w:r>
        <w:rPr>
          <w:rFonts w:ascii="Aptos" w:cs="Aptos" w:eastAsia="Aptos" w:hAnsi="Aptos"/>
          <w:b/>
          <w:bCs/>
          <w:i w:val="false"/>
          <w:iCs w:val="false"/>
          <w:caps/>
          <w:color w:val="1F5A75"/>
          <w:sz w:val="18"/>
          <w:szCs w:val="18"/>
        </w:rPr>
        <w:t xml:space="preserve">SECCIÓN 06</w:t>
      </w:r>
    </w:p>
    <w:p>
      <w:pPr>
        <w:pBdr>
          <w:bottom w:val="single" w:color="1F5A75" w:sz="6" w:space="0"/>
        </w:pBdr>
        <w:spacing w:after="160"/>
      </w:pPr>
    </w:p>
    <w:p>
      <w:pPr>
        <w:pStyle w:val="Heading1"/>
        <w:keepNext/>
        <w:keepLines/>
        <w:spacing w:after="160" w:line="252"/>
      </w:pPr>
      <w:r>
        <w:rPr>
          <w:rFonts w:ascii="Aptos Display" w:cs="Aptos Display" w:eastAsia="Aptos Display" w:hAnsi="Aptos Display"/>
          <w:b/>
          <w:bCs/>
          <w:i w:val="false"/>
          <w:iCs w:val="false"/>
          <w:caps w:val="false"/>
          <w:color w:val="1F2933"/>
          <w:sz w:val="38"/>
          <w:szCs w:val="38"/>
        </w:rPr>
        <w:t xml:space="preserve">Ensayos Clínicos — Movimientos Específicos</w:t>
      </w:r>
    </w:p>
    <w:p>
      <w:pPr>
        <w:spacing w:after="0" w:line="312"/>
      </w:pPr>
      <w:r>
        <w:rPr>
          <w:rFonts w:ascii="Aptos" w:cs="Aptos" w:eastAsia="Aptos" w:hAnsi="Aptos"/>
          <w:b w:val="false"/>
          <w:bCs w:val="false"/>
          <w:i/>
          <w:iCs/>
          <w:caps w:val="false"/>
          <w:color w:val="5B6B79"/>
          <w:sz w:val="21"/>
          <w:szCs w:val="21"/>
        </w:rPr>
        <w:t xml:space="preserve">Cinco artículos abordan movimientos ortodóncicos específicos con miniscrews: micro-osteoperforación para cierre de espacio (ECA), intrusión incisiva mandibular (ECA), protracción maxilar con MAMP en Clase III (RS), in...</w:t>
      </w:r>
    </w:p>
    <w:p>
      <w:r>
        <w:br w:type="page"/>
      </w:r>
    </w:p>
    <w:p>
      <w:pPr>
        <w:spacing w:after="120" w:line="317"/>
        <w:jc w:val="both"/>
      </w:pPr>
      <w:r>
        <w:rPr>
          <w:rFonts w:ascii="Aptos" w:cs="Aptos" w:eastAsia="Aptos" w:hAnsi="Aptos"/>
          <w:b w:val="false"/>
          <w:bCs w:val="false"/>
          <w:i w:val="false"/>
          <w:iCs w:val="false"/>
          <w:caps w:val="false"/>
          <w:color w:val="1F2933"/>
          <w:sz w:val="21"/>
          <w:szCs w:val="21"/>
        </w:rPr>
        <w:t xml:space="preserve">Cinco artículos abordan movimientos ortodóncicos específicos con miniscrews: micro-osteoperforación para cierre de espacio (ECA), intrusión incisiva mandibular (ECA), protracción maxilar con MAMP en Clase III (RS), intrusión molar en mordida abierta (retrospectivo), y fotobiomodulación como adyuvante (overview RS).</w:t>
      </w:r>
    </w:p>
    <w:p>
      <w:pPr>
        <w:spacing w:after="100" w:line="317"/>
      </w:pPr>
      <w:r>
        <w:rPr>
          <w:rFonts w:ascii="Aptos" w:cs="Aptos" w:eastAsia="Aptos" w:hAnsi="Aptos"/>
          <w:b/>
          <w:bCs/>
          <w:i w:val="false"/>
          <w:iCs w:val="false"/>
          <w:caps w:val="false"/>
          <w:color w:val="1F5A75"/>
          <w:sz w:val="21"/>
          <w:szCs w:val="21"/>
        </w:rPr>
        <w:t xml:space="preserve">5 artículos analizados</w:t>
      </w:r>
      <w:r>
        <w:rPr>
          <w:rFonts w:ascii="Aptos" w:cs="Aptos" w:eastAsia="Aptos" w:hAnsi="Aptos"/>
          <w:b w:val="false"/>
          <w:bCs w:val="false"/>
          <w:i w:val="false"/>
          <w:iCs w:val="false"/>
          <w:caps w:val="false"/>
          <w:color w:val="5B6B79"/>
          <w:sz w:val="21"/>
          <w:szCs w:val="21"/>
        </w:rPr>
        <w:t xml:space="preserve"> — Diseños: ECA paralelo 3 brazos [DE], ECA 3 grupos [DE], RS con GRADE [DE], Retrospectivo [DE], Overview de RS con meta-regresión [DE]</w:t>
      </w:r>
    </w:p>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14. Abtahi M et al. (2025)</w:t>
      </w:r>
    </w:p>
    <w:p>
      <w:pPr>
        <w:spacing w:after="100" w:line="317"/>
        <w:ind w:left="100"/>
      </w:pPr>
      <w:r>
        <w:rPr>
          <w:rFonts w:ascii="Aptos" w:cs="Aptos" w:eastAsia="Aptos" w:hAnsi="Aptos"/>
          <w:b w:val="false"/>
          <w:bCs w:val="false"/>
          <w:i/>
          <w:iCs/>
          <w:caps w:val="false"/>
          <w:color w:val="5B6B79"/>
          <w:sz w:val="21"/>
          <w:szCs w:val="21"/>
        </w:rPr>
        <w:t xml:space="preserve">Comparison of two MOP protocols using mini-screws on extraction space closure: RCT</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Comparar 2 protocolos MOP sobre velocidad y patrón de cierre de espacio</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ECA paralelo 3 brazos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30 pacientes (17-30 años), 10/grupo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MOP1 (4 perforaciones) y MOP2 (perforaciones adicionales mesial/distal al 1°M)</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MOP acelera cierre: +0,88mm (MOP1), +0,90mm (MOP2) vs control a 3 meses. Diferencia MOP1-MOP2: 0,02mm (negligible). Menor tipping en MOP. Sin eventos adversos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ECA de 3 brazos comparando 2 protocolos de micro-osteoperforación vs control en cierre de espacio post-extracción. Ambos protocolos MOP aceleran el cierre (~0,9mm extra en 3 meses) con menor tipping y sin eventos adversos. La diferencia entre protocolos es clínicamente negligible.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Moderado — ECA con 3 brazos y mediciones 3D mensuales. Limitado por n=10/grupo y seguimiento 3 meses.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3 brazos con control; Mediciones 3D mensuales (scans intraorales); Evaluación de tipping además de velocidad</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N=10/grupo — bajo poder estadístico; Solo 3 meses de seguimiento; No evalúa efecto a largo plazo ni calidad del hueso regenerado; No evaluación de dolor/confort del paciente</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Moderada. Diferencia consistente pero muestra pequeña y seguimiento corto.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La MOP mensual con miniscrews acelera el cierre de espacio en ~0,9mm/3 meses sin comprometer el anclaje.</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Aplicable en cierre de espacio post-extracción cuando se busca aceleración; el protocolo simple (4 perforaciones) es suficiente.</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Efecto modesto; 3 meses de seguimiento — no se sabe si la aceleración se mantiene.</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Media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MOP acelera cierre de espacio moderadamente. Protocolo simple suficiente. Seguimiento corto.</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15. Mahmoud MS et al. (2025)</w:t>
      </w:r>
    </w:p>
    <w:p>
      <w:pPr>
        <w:spacing w:after="100" w:line="317"/>
        <w:ind w:left="100"/>
      </w:pPr>
      <w:r>
        <w:rPr>
          <w:rFonts w:ascii="Aptos" w:cs="Aptos" w:eastAsia="Aptos" w:hAnsi="Aptos"/>
          <w:b w:val="false"/>
          <w:bCs w:val="false"/>
          <w:i/>
          <w:iCs/>
          <w:caps w:val="false"/>
          <w:color w:val="5B6B79"/>
          <w:sz w:val="21"/>
          <w:szCs w:val="21"/>
        </w:rPr>
        <w:t xml:space="preserve">Assessment of effects following different mandibular incisor intrusive mechanics: RCT</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PMC</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Comparar efectos sobre raíz, hueso labial e intrusión con 3 mecánicas: miniscrews, utility arch, RCA</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ECA 3 grupos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21 pacientes, 12-16 años, 7/grupo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Grupo A: miniscrews + elásticos; B: utility arch; C: RCA (NiTi curva reversa)</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RCA: menor reabsorción radicular (−0,81mm). Miniscrews (−0,97mm) y utility arch (−0,93mm): sin diferencia significativa entre ellos.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ECA comparando 3 mecánicas de intrusión incisiva mandibular en 21 adolescentes. La RCA (curva reversa NiTi) produce menos reabsorción radicular que miniscrews o utility arch, que son equivalentes entre sí. Sin embargo, el estudio no evalúa cantidad de intrusión real ni eficacia comparativa.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Bajo — ECA con n=7/grupo — muy bajo poder estadístico. Solo adolescentes; solo evalúa efectos adversos, no eficacia.</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Selección (Posible); Reporte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Diseño ECA con 3 grupos; CBCT pre/post para mediciones volumétricas</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N=7/grupo — insuficiente para detectar diferencias clínicamente relevantes; No evalúa cantidad ni calidad de intrusión; Solo adolescentes 12-16 años; Seguimiento no detallado</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Baja. La diferencia en reabsorción es estadística pero con potencia muy limitada.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Miniscrews y utility arch producen reabsorción radicular equivalente durante intrusión incisiva.</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La elección entre mecánicas puede basarse en otros criterios; no hay ventaja clara en reabsorción.</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N muy bajo; no evalúa eficacia de intrusión.</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Baja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Miniscrews y utility arch equivalentes en reabsorción. Evidencia muy limitada (n=7/grupo).</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16. Li L et al. (2026)</w:t>
      </w:r>
    </w:p>
    <w:p>
      <w:pPr>
        <w:spacing w:after="100" w:line="317"/>
        <w:ind w:left="100"/>
      </w:pPr>
      <w:r>
        <w:rPr>
          <w:rFonts w:ascii="Aptos" w:cs="Aptos" w:eastAsia="Aptos" w:hAnsi="Aptos"/>
          <w:b w:val="false"/>
          <w:bCs w:val="false"/>
          <w:i/>
          <w:iCs/>
          <w:caps w:val="false"/>
          <w:color w:val="5B6B79"/>
          <w:sz w:val="21"/>
          <w:szCs w:val="21"/>
        </w:rPr>
        <w:t xml:space="preserve">Alt-RAMEC + MAMP vs tooth-anchored protraction in Class III: systematic review</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Sintetizar evidencia sobre efectos del Alt-RAMEC + MAMP vs otras protracciones en Clase III</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RS con GRADE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7 estudios (6 ECA, 1 CCT). Búsqueda hasta sep 2025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MAMP/Alt-RAMEC (anclaje con miniscrews)</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MAMP/Alt-RAMEC: mayor avance maxilar (SNA, ANB, Wits, Co-A) con menos efectos verticales y dentales que TAMP. Meta-análisis no factible. Certeza: moderada a muy baja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RS con GRADE de 7 estudios sobre protracción maxilar en Clase III con MAMP. El anclaje con miniscrews produce mayor avance maxilar con menos efectos secundarios dentales y verticales que el anclaje dentario. Sin embargo, la certeza es moderada a muy baja y el meta-análisis no fue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Moderado — RS con GRADE y 6 ECA incluidos. Limitada por heterogeneidad y certeza variable de los estudios primarios.</w:t>
            </w:r>
          </w:p>
          <w:p>
            <w:pPr>
              <w:spacing w:after="60" w:line="317"/>
              <w:ind w:left="100"/>
            </w:pPr>
            <w:r>
              <w:rPr>
                <w:rFonts w:ascii="Aptos" w:cs="Aptos" w:eastAsia="Aptos" w:hAnsi="Aptos"/>
                <w:b/>
                <w:bCs/>
                <w:i w:val="false"/>
                <w:iCs w:val="false"/>
                <w:caps w:val="false"/>
                <w:color w:val="1F5A75"/>
                <w:sz w:val="21"/>
                <w:szCs w:val="21"/>
              </w:rPr>
              <w:t xml:space="preserve">Sesgos relevantes:  </w:t>
            </w:r>
            <w:r>
              <w:rPr>
                <w:rFonts w:ascii="Aptos" w:cs="Aptos" w:eastAsia="Aptos" w:hAnsi="Aptos"/>
                <w:b w:val="false"/>
                <w:bCs w:val="false"/>
                <w:i w:val="false"/>
                <w:iCs w:val="false"/>
                <w:caps w:val="false"/>
                <w:color w:val="1F2933"/>
                <w:sz w:val="21"/>
                <w:szCs w:val="21"/>
              </w:rPr>
              <w:t xml:space="preserve">Reporte (Posible)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RS con GRADE — estándar metodológico alto; 6 de 7 estudios son ECA; Búsqueda sin restricción de idioma en 6 bases de datos</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Heterogeneidad impide meta-análisis; Certeza moderada a muy baja según GRADE; No se evalúa estabilidad a largo plazo del avance maxilar</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Moderada. La dirección del efecto es consistente pero la magnitud y durabilidad son inciertas.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En Clase III en crecimiento, MAMP ofrece ventajas sobre anclaje dentario en control de efectos secundarios.</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Aplicable en pacientes Clase III en crecimiento que requieren protracción maxilar.</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No se puede cuantificar la ventaja exacta; estabilidad a largo plazo desconocida.</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Media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MAMP ventajoso sobre anclaje dentario en Clase III. Evidencia moderada — dirección clara, magnitud incierta.</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18. Phopthoncharoensak W et al. (2026)</w:t>
      </w:r>
    </w:p>
    <w:p>
      <w:pPr>
        <w:spacing w:after="100" w:line="317"/>
        <w:ind w:left="100"/>
      </w:pPr>
      <w:r>
        <w:rPr>
          <w:rFonts w:ascii="Aptos" w:cs="Aptos" w:eastAsia="Aptos" w:hAnsi="Aptos"/>
          <w:b w:val="false"/>
          <w:bCs w:val="false"/>
          <w:i/>
          <w:iCs/>
          <w:caps w:val="false"/>
          <w:color w:val="5B6B79"/>
          <w:sz w:val="21"/>
          <w:szCs w:val="21"/>
        </w:rPr>
        <w:t xml:space="preserve">True dentoskeletal changes following miniscrew-assisted molar intrusion in anterior open bite</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Solo metadatos (abstract completo no accesible)</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 (ahead of print)</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Analizar cambios dentoesqueléticos reales usando superimposición con autorotación mandibular [IR]</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Retrospectivo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18 pacientes con mordida abierta, 2011-2023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Intrusión molar maxilar y/o mandibular con miniscrews</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No disponible — abstract completo no accesible [ND]</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Estudio retrospectivo de 18 pacientes con mordida abierta tratados con intrusión molar con miniscrews, analizando los cambios dentoesqueléticos reales (diferenciándolos de la autorotación mandibular). Abstract completo no accesible — análisis limitado.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No clasificable — Abstract completo no disponible.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Pregunta clínicamente relevante — diferenciar cambios reales de autorotación; Aprobación ética documentada</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Abstract no accesible — imposible evaluar; N=18 pequeño; Retrospectivo 2011-2023 — posible heterogeneidad de protocolos</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No evaluable.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No determinable.</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No evaluable.</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No es posible extraer recomendaciones.</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Incierta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6B7280"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6B7280"/>
                <w:sz w:val="24"/>
                <w:szCs w:val="24"/>
              </w:rPr>
              <w:t xml:space="preserve">● </w:t>
            </w:r>
            <w:r>
              <w:rPr>
                <w:rFonts w:ascii="Aptos" w:cs="Aptos" w:eastAsia="Aptos" w:hAnsi="Aptos"/>
                <w:b/>
                <w:bCs/>
                <w:i w:val="false"/>
                <w:iCs w:val="false"/>
                <w:caps w:val="false"/>
                <w:color w:val="6B7280"/>
                <w:sz w:val="21"/>
                <w:szCs w:val="21"/>
              </w:rPr>
              <w:t xml:space="preserve">GRIS</w:t>
            </w:r>
            <w:r>
              <w:rPr>
                <w:rFonts w:ascii="Aptos" w:cs="Aptos" w:eastAsia="Aptos" w:hAnsi="Aptos"/>
                <w:b w:val="false"/>
                <w:bCs w:val="false"/>
                <w:i w:val="false"/>
                <w:iCs w:val="false"/>
                <w:caps w:val="false"/>
                <w:color w:val="5B6B79"/>
                <w:sz w:val="21"/>
                <w:szCs w:val="21"/>
              </w:rPr>
              <w:t xml:space="preserve">  —  Abstract no disponible. Pregunta relevante pero no evaluable.</w:t>
            </w:r>
          </w:p>
        </w:tc>
      </w:tr>
    </w:tbl>
    <w:p>
      <w:pPr>
        <w:pStyle w:val="Heading2"/>
        <w:keepNext/>
        <w:keepLines/>
        <w:pBdr>
          <w:left w:val="single" w:color="1F5A75" w:sz="12" w:space="8"/>
        </w:pBdr>
        <w:spacing w:after="80" w:before="300" w:line="288"/>
        <w:ind w:left="100"/>
      </w:pPr>
      <w:r>
        <w:rPr>
          <w:rFonts w:ascii="Aptos Display" w:cs="Aptos Display" w:eastAsia="Aptos Display" w:hAnsi="Aptos Display"/>
          <w:b/>
          <w:bCs/>
          <w:i w:val="false"/>
          <w:iCs w:val="false"/>
          <w:caps w:val="false"/>
          <w:color w:val="1F2933"/>
          <w:sz w:val="24"/>
          <w:szCs w:val="24"/>
        </w:rPr>
        <w:t xml:space="preserve">20. Reis CLB et al. (2026)</w:t>
      </w:r>
    </w:p>
    <w:p>
      <w:pPr>
        <w:spacing w:after="100" w:line="317"/>
        <w:ind w:left="100"/>
      </w:pPr>
      <w:r>
        <w:rPr>
          <w:rFonts w:ascii="Aptos" w:cs="Aptos" w:eastAsia="Aptos" w:hAnsi="Aptos"/>
          <w:b w:val="false"/>
          <w:bCs w:val="false"/>
          <w:i/>
          <w:iCs/>
          <w:caps w:val="false"/>
          <w:color w:val="5B6B79"/>
          <w:sz w:val="21"/>
          <w:szCs w:val="21"/>
        </w:rPr>
        <w:t xml:space="preserve">Photobiomodulation in orthodontics: overview of systematic reviews with meta-regression</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2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Ficha del Estudio</w:t>
            </w:r>
          </w:p>
          <w:p>
            <w:pPr>
              <w:spacing w:after="60" w:line="317"/>
              <w:ind w:left="100"/>
            </w:pPr>
            <w:r>
              <w:rPr>
                <w:rFonts w:ascii="Aptos" w:cs="Aptos" w:eastAsia="Aptos" w:hAnsi="Aptos"/>
                <w:b/>
                <w:bCs/>
                <w:i w:val="false"/>
                <w:iCs w:val="false"/>
                <w:caps w:val="false"/>
                <w:color w:val="1F5A75"/>
                <w:sz w:val="21"/>
                <w:szCs w:val="21"/>
              </w:rPr>
              <w:t xml:space="preserve">Input  </w:t>
            </w:r>
            <w:r>
              <w:rPr>
                <w:rFonts w:ascii="Aptos" w:cs="Aptos" w:eastAsia="Aptos" w:hAnsi="Aptos"/>
                <w:b w:val="false"/>
                <w:bCs w:val="false"/>
                <w:i w:val="false"/>
                <w:iCs w:val="false"/>
                <w:caps w:val="false"/>
                <w:color w:val="1F2933"/>
                <w:sz w:val="21"/>
                <w:szCs w:val="21"/>
              </w:rPr>
              <w:t xml:space="preserve">Abstract completo</w:t>
            </w:r>
          </w:p>
          <w:p>
            <w:pPr>
              <w:spacing w:after="60" w:line="317"/>
              <w:ind w:left="100"/>
            </w:pPr>
            <w:r>
              <w:rPr>
                <w:rFonts w:ascii="Aptos" w:cs="Aptos" w:eastAsia="Aptos" w:hAnsi="Aptos"/>
                <w:b/>
                <w:bCs/>
                <w:i w:val="false"/>
                <w:iCs w:val="false"/>
                <w:caps w:val="false"/>
                <w:color w:val="1F5A75"/>
                <w:sz w:val="21"/>
                <w:szCs w:val="21"/>
              </w:rPr>
              <w:t xml:space="preserve">Publicación  </w:t>
            </w:r>
            <w:r>
              <w:rPr>
                <w:rFonts w:ascii="Aptos" w:cs="Aptos" w:eastAsia="Aptos" w:hAnsi="Aptos"/>
                <w:b w:val="false"/>
                <w:bCs w:val="false"/>
                <w:i w:val="false"/>
                <w:iCs w:val="false"/>
                <w:caps w:val="false"/>
                <w:color w:val="1F2933"/>
                <w:sz w:val="21"/>
                <w:szCs w:val="21"/>
              </w:rPr>
              <w:t xml:space="preserve">Peer-reviewed</w:t>
            </w:r>
          </w:p>
          <w:p>
            <w:pPr>
              <w:spacing w:after="60" w:line="317"/>
              <w:ind w:left="100"/>
            </w:pPr>
            <w:r>
              <w:rPr>
                <w:rFonts w:ascii="Aptos" w:cs="Aptos" w:eastAsia="Aptos" w:hAnsi="Aptos"/>
                <w:b/>
                <w:bCs/>
                <w:i w:val="false"/>
                <w:iCs w:val="false"/>
                <w:caps w:val="false"/>
                <w:color w:val="1F5A75"/>
                <w:sz w:val="21"/>
                <w:szCs w:val="21"/>
              </w:rPr>
              <w:t xml:space="preserve">CdI  </w:t>
            </w:r>
            <w:r>
              <w:rPr>
                <w:rFonts w:ascii="Aptos" w:cs="Aptos" w:eastAsia="Aptos" w:hAnsi="Aptos"/>
                <w:b w:val="false"/>
                <w:bCs w:val="false"/>
                <w:i w:val="false"/>
                <w:iCs w:val="false"/>
                <w:caps w:val="false"/>
                <w:color w:val="1F2933"/>
                <w:sz w:val="21"/>
                <w:szCs w:val="21"/>
              </w:rPr>
              <w:t xml:space="preserve">Ninguno declarado [DE]</w:t>
            </w:r>
          </w:p>
          <w:p>
            <w:pPr>
              <w:spacing w:after="60" w:line="317"/>
              <w:ind w:left="100"/>
            </w:pPr>
            <w:r>
              <w:rPr>
                <w:rFonts w:ascii="Aptos" w:cs="Aptos" w:eastAsia="Aptos" w:hAnsi="Aptos"/>
                <w:b/>
                <w:bCs/>
                <w:i w:val="false"/>
                <w:iCs w:val="false"/>
                <w:caps w:val="false"/>
                <w:color w:val="1F5A75"/>
                <w:sz w:val="21"/>
                <w:szCs w:val="21"/>
              </w:rPr>
              <w:t xml:space="preserve">Financiación  </w:t>
            </w:r>
            <w:r>
              <w:rPr>
                <w:rFonts w:ascii="Aptos" w:cs="Aptos" w:eastAsia="Aptos" w:hAnsi="Aptos"/>
                <w:b w:val="false"/>
                <w:bCs w:val="false"/>
                <w:i w:val="false"/>
                <w:iCs w:val="false"/>
                <w:caps w:val="false"/>
                <w:color w:val="1F2933"/>
                <w:sz w:val="21"/>
                <w:szCs w:val="21"/>
              </w:rPr>
              <w:t xml:space="preserve">No consta</w:t>
            </w:r>
          </w:p>
          <w:p>
            <w:pPr>
              <w:spacing w:after="60" w:line="317"/>
              <w:ind w:left="100"/>
            </w:pPr>
            <w:r>
              <w:rPr>
                <w:rFonts w:ascii="Aptos" w:cs="Aptos" w:eastAsia="Aptos" w:hAnsi="Aptos"/>
                <w:b/>
                <w:bCs/>
                <w:i w:val="false"/>
                <w:iCs w:val="false"/>
                <w:caps w:val="false"/>
                <w:color w:val="1F5A75"/>
                <w:sz w:val="21"/>
                <w:szCs w:val="21"/>
              </w:rPr>
              <w:t xml:space="preserve">Objetivo  </w:t>
            </w:r>
            <w:r>
              <w:rPr>
                <w:rFonts w:ascii="Aptos" w:cs="Aptos" w:eastAsia="Aptos" w:hAnsi="Aptos"/>
                <w:b w:val="false"/>
                <w:bCs w:val="false"/>
                <w:i w:val="false"/>
                <w:iCs w:val="false"/>
                <w:caps w:val="false"/>
                <w:color w:val="1F2933"/>
                <w:sz w:val="21"/>
                <w:szCs w:val="21"/>
              </w:rPr>
              <w:t xml:space="preserve">Resumir RS que evalúan PBM en procedimientos ortodóncicos</w:t>
            </w:r>
          </w:p>
          <w:p>
            <w:pPr>
              <w:spacing w:after="60" w:line="317"/>
              <w:ind w:left="100"/>
            </w:pPr>
            <w:r>
              <w:rPr>
                <w:rFonts w:ascii="Aptos" w:cs="Aptos" w:eastAsia="Aptos" w:hAnsi="Aptos"/>
                <w:b/>
                <w:bCs/>
                <w:i w:val="false"/>
                <w:iCs w:val="false"/>
                <w:caps w:val="false"/>
                <w:color w:val="1F5A75"/>
                <w:sz w:val="21"/>
                <w:szCs w:val="21"/>
              </w:rPr>
              <w:t xml:space="preserve">Diseño  </w:t>
            </w:r>
            <w:r>
              <w:rPr>
                <w:rFonts w:ascii="Aptos" w:cs="Aptos" w:eastAsia="Aptos" w:hAnsi="Aptos"/>
                <w:b w:val="false"/>
                <w:bCs w:val="false"/>
                <w:i w:val="false"/>
                <w:iCs w:val="false"/>
                <w:caps w:val="false"/>
                <w:color w:val="1F2933"/>
                <w:sz w:val="21"/>
                <w:szCs w:val="21"/>
              </w:rPr>
              <w:t xml:space="preserve">Overview de RS con meta-regresión [DE]</w:t>
            </w:r>
          </w:p>
          <w:p>
            <w:pPr>
              <w:spacing w:after="60" w:line="317"/>
              <w:ind w:left="100"/>
            </w:pPr>
            <w:r>
              <w:rPr>
                <w:rFonts w:ascii="Aptos" w:cs="Aptos" w:eastAsia="Aptos" w:hAnsi="Aptos"/>
                <w:b/>
                <w:bCs/>
                <w:i w:val="false"/>
                <w:iCs w:val="false"/>
                <w:caps w:val="false"/>
                <w:color w:val="1F5A75"/>
                <w:sz w:val="21"/>
                <w:szCs w:val="21"/>
              </w:rPr>
              <w:t xml:space="preserve">Muestra  </w:t>
            </w:r>
            <w:r>
              <w:rPr>
                <w:rFonts w:ascii="Aptos" w:cs="Aptos" w:eastAsia="Aptos" w:hAnsi="Aptos"/>
                <w:b w:val="false"/>
                <w:bCs w:val="false"/>
                <w:i w:val="false"/>
                <w:iCs w:val="false"/>
                <w:caps w:val="false"/>
                <w:color w:val="1F2933"/>
                <w:sz w:val="21"/>
                <w:szCs w:val="21"/>
              </w:rPr>
              <w:t xml:space="preserve">40 RS con 134 estudios primarios (n=4730 participantes) [DE]</w:t>
            </w:r>
          </w:p>
          <w:p>
            <w:pPr>
              <w:spacing w:after="60" w:line="317"/>
              <w:ind w:left="100"/>
            </w:pPr>
            <w:r>
              <w:rPr>
                <w:rFonts w:ascii="Aptos" w:cs="Aptos" w:eastAsia="Aptos" w:hAnsi="Aptos"/>
                <w:b/>
                <w:bCs/>
                <w:i w:val="false"/>
                <w:iCs w:val="false"/>
                <w:caps w:val="false"/>
                <w:color w:val="1F5A75"/>
                <w:sz w:val="21"/>
                <w:szCs w:val="21"/>
              </w:rPr>
              <w:t xml:space="preserve">Intervención  </w:t>
            </w:r>
            <w:r>
              <w:rPr>
                <w:rFonts w:ascii="Aptos" w:cs="Aptos" w:eastAsia="Aptos" w:hAnsi="Aptos"/>
                <w:b w:val="false"/>
                <w:bCs w:val="false"/>
                <w:i w:val="false"/>
                <w:iCs w:val="false"/>
                <w:caps w:val="false"/>
                <w:color w:val="1F2933"/>
                <w:sz w:val="21"/>
                <w:szCs w:val="21"/>
              </w:rPr>
              <w:t xml:space="preserve">Fotobiomodulación (láser/LED)</w:t>
            </w:r>
          </w:p>
          <w:p>
            <w:pPr>
              <w:spacing w:after="60" w:line="317"/>
              <w:ind w:left="100"/>
            </w:pPr>
            <w:r>
              <w:rPr>
                <w:rFonts w:ascii="Aptos" w:cs="Aptos" w:eastAsia="Aptos" w:hAnsi="Aptos"/>
                <w:b/>
                <w:bCs/>
                <w:i w:val="false"/>
                <w:iCs w:val="false"/>
                <w:caps w:val="false"/>
                <w:color w:val="1F5A75"/>
                <w:sz w:val="21"/>
                <w:szCs w:val="21"/>
              </w:rPr>
              <w:t xml:space="preserve">Resultado  </w:t>
            </w:r>
            <w:r>
              <w:rPr>
                <w:rFonts w:ascii="Aptos" w:cs="Aptos" w:eastAsia="Aptos" w:hAnsi="Aptos"/>
                <w:b w:val="false"/>
                <w:bCs w:val="false"/>
                <w:i w:val="false"/>
                <w:iCs w:val="false"/>
                <w:caps w:val="false"/>
                <w:color w:val="1F2933"/>
                <w:sz w:val="21"/>
                <w:szCs w:val="21"/>
              </w:rPr>
              <w:t xml:space="preserve">PBM acelera OTM ~1mm/3 meses (solo en estudios de bajo sesgo). Puede mejorar estabilidad de miniscrews pero evidencia muy baja. No diferencia en periodoncia ni OIIRR. No apoya uso clínico rutinario [DE]</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Resumen</w:t>
            </w:r>
          </w:p>
          <w:p>
            <w:pPr>
              <w:spacing w:after="120" w:line="317"/>
              <w:jc w:val="both"/>
            </w:pPr>
            <w:r>
              <w:rPr>
                <w:rFonts w:ascii="Aptos" w:cs="Aptos" w:eastAsia="Aptos" w:hAnsi="Aptos"/>
                <w:b w:val="false"/>
                <w:bCs w:val="false"/>
                <w:i w:val="false"/>
                <w:iCs w:val="false"/>
                <w:caps w:val="false"/>
                <w:color w:val="1F2933"/>
                <w:sz w:val="21"/>
                <w:szCs w:val="21"/>
              </w:rPr>
              <w:t xml:space="preserve">Overview de 40 RS (4730 participantes) sobre fotobiomodulación en ortodoncia. La PBM puede acelerar movimiento dental moderadamente (~1mm/3meses) pero la calidad de la evidencia es críticamente baja. Respecto a miniscrews: la PBM podría mejorar su estabilidad, pero la evidencia es muy baja. Los autores concluyen que NO se apoya el uso clínico rutinario.</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Evidencia y Sesgos</w:t>
            </w:r>
          </w:p>
          <w:p>
            <w:pPr>
              <w:spacing w:after="60" w:line="317"/>
              <w:ind w:left="100"/>
            </w:pPr>
            <w:r>
              <w:rPr>
                <w:rFonts w:ascii="Aptos" w:cs="Aptos" w:eastAsia="Aptos" w:hAnsi="Aptos"/>
                <w:b/>
                <w:bCs/>
                <w:i w:val="false"/>
                <w:iCs w:val="false"/>
                <w:caps w:val="false"/>
                <w:color w:val="1F5A75"/>
                <w:sz w:val="21"/>
                <w:szCs w:val="21"/>
              </w:rPr>
              <w:t xml:space="preserve">Nivel de evidencia:  </w:t>
            </w:r>
            <w:r>
              <w:rPr>
                <w:rFonts w:ascii="Aptos" w:cs="Aptos" w:eastAsia="Aptos" w:hAnsi="Aptos"/>
                <w:b w:val="false"/>
                <w:bCs w:val="false"/>
                <w:i w:val="false"/>
                <w:iCs w:val="false"/>
                <w:caps w:val="false"/>
                <w:color w:val="1F2933"/>
                <w:sz w:val="21"/>
                <w:szCs w:val="21"/>
              </w:rPr>
              <w:t xml:space="preserve">Moderado — Overview de RS con AMSTAR 2, meta-regresión y GRADE. Nivel metodológico alto pero la evidencia base es críticamente baja.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Análisis Crítico</w:t>
            </w:r>
          </w:p>
          <w:p>
            <w:pPr>
              <w:spacing w:after="60" w:line="317"/>
              <w:ind w:left="100"/>
            </w:pPr>
            <w:r>
              <w:rPr>
                <w:rFonts w:ascii="Aptos" w:cs="Aptos" w:eastAsia="Aptos" w:hAnsi="Aptos"/>
                <w:b/>
                <w:bCs/>
                <w:i w:val="false"/>
                <w:iCs w:val="false"/>
                <w:caps w:val="false"/>
                <w:color w:val="1F5A75"/>
                <w:sz w:val="21"/>
                <w:szCs w:val="21"/>
              </w:rPr>
              <w:t xml:space="preserve">Fortalezas:  </w:t>
            </w:r>
            <w:r>
              <w:rPr>
                <w:rFonts w:ascii="Aptos" w:cs="Aptos" w:eastAsia="Aptos" w:hAnsi="Aptos"/>
                <w:b w:val="false"/>
                <w:bCs w:val="false"/>
                <w:i w:val="false"/>
                <w:iCs w:val="false"/>
                <w:caps w:val="false"/>
                <w:color w:val="1F2933"/>
                <w:sz w:val="21"/>
                <w:szCs w:val="21"/>
              </w:rPr>
              <w:t xml:space="preserve">Overview con AMSTAR 2 + GRADE + meta-regresión + análisis de solapamiento; 40 RS y 4730 participantes — cobertura exhaustiva; Conclusión prudente y calibrada</w:t>
            </w:r>
          </w:p>
          <w:p>
            <w:pPr>
              <w:spacing w:after="60" w:line="317"/>
              <w:ind w:left="100"/>
            </w:pPr>
            <w:r>
              <w:rPr>
                <w:rFonts w:ascii="Aptos" w:cs="Aptos" w:eastAsia="Aptos" w:hAnsi="Aptos"/>
                <w:b/>
                <w:bCs/>
                <w:i w:val="false"/>
                <w:iCs w:val="false"/>
                <w:caps w:val="false"/>
                <w:color w:val="1F5A75"/>
                <w:sz w:val="21"/>
                <w:szCs w:val="21"/>
              </w:rPr>
              <w:t xml:space="preserve">Limitaciones:  </w:t>
            </w:r>
            <w:r>
              <w:rPr>
                <w:rFonts w:ascii="Aptos" w:cs="Aptos" w:eastAsia="Aptos" w:hAnsi="Aptos"/>
                <w:b w:val="false"/>
                <w:bCs w:val="false"/>
                <w:i w:val="false"/>
                <w:iCs w:val="false"/>
                <w:caps w:val="false"/>
                <w:color w:val="1F2933"/>
                <w:sz w:val="21"/>
                <w:szCs w:val="21"/>
              </w:rPr>
              <w:t xml:space="preserve">La mayoría de RS son de calidad críticamente baja; La evidencia sobre miniscrews es tangencial (no es el foco); Meta-regresión solo para OTM con estudios de bajo sesgo</w:t>
            </w:r>
          </w:p>
          <w:p>
            <w:pPr>
              <w:spacing w:after="60" w:line="317"/>
              <w:ind w:left="100"/>
            </w:pPr>
            <w:r>
              <w:rPr>
                <w:rFonts w:ascii="Aptos" w:cs="Aptos" w:eastAsia="Aptos" w:hAnsi="Aptos"/>
                <w:b/>
                <w:bCs/>
                <w:i w:val="false"/>
                <w:iCs w:val="false"/>
                <w:caps w:val="false"/>
                <w:color w:val="1F5A75"/>
                <w:sz w:val="21"/>
                <w:szCs w:val="21"/>
              </w:rPr>
              <w:t xml:space="preserve">Robustez:  </w:t>
            </w:r>
            <w:r>
              <w:rPr>
                <w:rFonts w:ascii="Aptos" w:cs="Aptos" w:eastAsia="Aptos" w:hAnsi="Aptos"/>
                <w:b w:val="false"/>
                <w:bCs w:val="false"/>
                <w:i w:val="false"/>
                <w:iCs w:val="false"/>
                <w:caps w:val="false"/>
                <w:color w:val="1F2933"/>
                <w:sz w:val="21"/>
                <w:szCs w:val="21"/>
              </w:rPr>
              <w:t xml:space="preserve">Moderada para la conclusión global de no recomendar PBM. Muy baja para estabilidad de miniscrews.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Relevancia Clínica</w:t>
            </w:r>
          </w:p>
          <w:p>
            <w:pPr>
              <w:spacing w:after="60" w:line="317"/>
              <w:ind w:left="100"/>
            </w:pPr>
            <w:r>
              <w:rPr>
                <w:rFonts w:ascii="Aptos" w:cs="Aptos" w:eastAsia="Aptos" w:hAnsi="Aptos"/>
                <w:b/>
                <w:bCs/>
                <w:i w:val="false"/>
                <w:iCs w:val="false"/>
                <w:caps w:val="false"/>
                <w:color w:val="1F5A75"/>
                <w:sz w:val="21"/>
                <w:szCs w:val="21"/>
              </w:rPr>
              <w:t xml:space="preserve">Implicación:  </w:t>
            </w:r>
            <w:r>
              <w:rPr>
                <w:rFonts w:ascii="Aptos" w:cs="Aptos" w:eastAsia="Aptos" w:hAnsi="Aptos"/>
                <w:b w:val="false"/>
                <w:bCs w:val="false"/>
                <w:i w:val="false"/>
                <w:iCs w:val="false"/>
                <w:caps w:val="false"/>
                <w:color w:val="1F2933"/>
                <w:sz w:val="21"/>
                <w:szCs w:val="21"/>
              </w:rPr>
              <w:t xml:space="preserve">La PBM no debe usarse rutinariamente en ortodoncia según la evidencia actual, incluyendo para mejorar estabilidad de miniscrews.</w:t>
            </w:r>
          </w:p>
          <w:p>
            <w:pPr>
              <w:spacing w:after="60" w:line="317"/>
              <w:ind w:left="100"/>
            </w:pPr>
            <w:r>
              <w:rPr>
                <w:rFonts w:ascii="Aptos" w:cs="Aptos" w:eastAsia="Aptos" w:hAnsi="Aptos"/>
                <w:b/>
                <w:bCs/>
                <w:i w:val="false"/>
                <w:iCs w:val="false"/>
                <w:caps w:val="false"/>
                <w:color w:val="1F5A75"/>
                <w:sz w:val="21"/>
                <w:szCs w:val="21"/>
              </w:rPr>
              <w:t xml:space="preserve">Aplicabilidad:  </w:t>
            </w:r>
            <w:r>
              <w:rPr>
                <w:rFonts w:ascii="Aptos" w:cs="Aptos" w:eastAsia="Aptos" w:hAnsi="Aptos"/>
                <w:b w:val="false"/>
                <w:bCs w:val="false"/>
                <w:i w:val="false"/>
                <w:iCs w:val="false"/>
                <w:caps w:val="false"/>
                <w:color w:val="1F2933"/>
                <w:sz w:val="21"/>
                <w:szCs w:val="21"/>
              </w:rPr>
              <w:t xml:space="preserve">No indicada como práctica rutinaria.</w:t>
            </w:r>
          </w:p>
          <w:p>
            <w:pPr>
              <w:spacing w:after="60" w:line="317"/>
              <w:ind w:left="100"/>
            </w:pPr>
            <w:r>
              <w:rPr>
                <w:rFonts w:ascii="Aptos" w:cs="Aptos" w:eastAsia="Aptos" w:hAnsi="Aptos"/>
                <w:b/>
                <w:bCs/>
                <w:i w:val="false"/>
                <w:iCs w:val="false"/>
                <w:caps w:val="false"/>
                <w:color w:val="1F5A75"/>
                <w:sz w:val="21"/>
                <w:szCs w:val="21"/>
              </w:rPr>
              <w:t xml:space="preserve">Precauciones:  </w:t>
            </w:r>
            <w:r>
              <w:rPr>
                <w:rFonts w:ascii="Aptos" w:cs="Aptos" w:eastAsia="Aptos" w:hAnsi="Aptos"/>
                <w:b w:val="false"/>
                <w:bCs w:val="false"/>
                <w:i w:val="false"/>
                <w:iCs w:val="false"/>
                <w:caps w:val="false"/>
                <w:color w:val="1F2933"/>
                <w:sz w:val="21"/>
                <w:szCs w:val="21"/>
              </w:rPr>
              <w:t xml:space="preserve">La evidencia sobre estabilidad de miniscrews es muy baja — no apoya ni descarta.</w:t>
            </w:r>
          </w:p>
          <w:p>
            <w:pPr>
              <w:spacing w:after="60" w:line="317"/>
              <w:ind w:left="100"/>
            </w:pPr>
            <w:r>
              <w:rPr>
                <w:rFonts w:ascii="Aptos" w:cs="Aptos" w:eastAsia="Aptos" w:hAnsi="Aptos"/>
                <w:b/>
                <w:bCs/>
                <w:i w:val="false"/>
                <w:iCs w:val="false"/>
                <w:caps w:val="false"/>
                <w:color w:val="1F5A75"/>
                <w:sz w:val="21"/>
                <w:szCs w:val="21"/>
              </w:rPr>
              <w:t xml:space="preserve">Utilidad:  </w:t>
            </w:r>
            <w:r>
              <w:rPr>
                <w:rFonts w:ascii="Aptos" w:cs="Aptos" w:eastAsia="Aptos" w:hAnsi="Aptos"/>
                <w:b w:val="false"/>
                <w:bCs w:val="false"/>
                <w:i w:val="false"/>
                <w:iCs w:val="false"/>
                <w:caps w:val="false"/>
                <w:color w:val="1F2933"/>
                <w:sz w:val="21"/>
                <w:szCs w:val="21"/>
              </w:rPr>
              <w:t xml:space="preserve">Baja</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02424"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w:t>
            </w:r>
          </w:p>
          <w:p>
            <w:pPr>
              <w:spacing w:after="0" w:line="317"/>
            </w:pPr>
            <w:r>
              <w:rPr>
                <w:rFonts w:ascii="Aptos" w:cs="Aptos" w:eastAsia="Aptos" w:hAnsi="Aptos"/>
                <w:b/>
                <w:bCs/>
                <w:color w:val="C02424"/>
                <w:sz w:val="24"/>
                <w:szCs w:val="24"/>
              </w:rPr>
              <w:t xml:space="preserve">● </w:t>
            </w:r>
            <w:r>
              <w:rPr>
                <w:rFonts w:ascii="Aptos" w:cs="Aptos" w:eastAsia="Aptos" w:hAnsi="Aptos"/>
                <w:b/>
                <w:bCs/>
                <w:i w:val="false"/>
                <w:iCs w:val="false"/>
                <w:caps w:val="false"/>
                <w:color w:val="C02424"/>
                <w:sz w:val="21"/>
                <w:szCs w:val="21"/>
              </w:rPr>
              <w:t xml:space="preserve">ROJO</w:t>
            </w:r>
            <w:r>
              <w:rPr>
                <w:rFonts w:ascii="Aptos" w:cs="Aptos" w:eastAsia="Aptos" w:hAnsi="Aptos"/>
                <w:b w:val="false"/>
                <w:bCs w:val="false"/>
                <w:i w:val="false"/>
                <w:iCs w:val="false"/>
                <w:caps w:val="false"/>
                <w:color w:val="5B6B79"/>
                <w:sz w:val="21"/>
                <w:szCs w:val="21"/>
              </w:rPr>
              <w:t xml:space="preserve">  —  PBM no recomendada para uso clínico rutinario. Evidencia sobre estabilidad de miniscrews: muy baja.</w:t>
            </w:r>
          </w:p>
        </w:tc>
      </w:tr>
    </w:tbl>
    <w:p>
      <w:pPr>
        <w:spacing w:after="60" w:before="300" w:line="276"/>
      </w:pPr>
      <w:r>
        <w:rPr>
          <w:rFonts w:ascii="Aptos" w:cs="Aptos" w:eastAsia="Aptos" w:hAnsi="Aptos"/>
          <w:b/>
          <w:bCs/>
          <w:i w:val="false"/>
          <w:iCs w:val="false"/>
          <w:caps/>
          <w:color w:val="1F5A75"/>
          <w:sz w:val="18"/>
          <w:szCs w:val="18"/>
        </w:rPr>
        <w:t xml:space="preserve">SÍNTESIS DE SECCIÓN</w:t>
      </w:r>
    </w:p>
    <w:p>
      <w:pPr>
        <w:pBdr>
          <w:bottom w:val="single" w:color="E6EDF1" w:sz="3" w:space="0"/>
        </w:pBdr>
        <w:spacing w:after="120"/>
      </w:pPr>
    </w:p>
    <w:tbl>
      <w:tblPr>
        <w:tblW w:type="dxa" w:w="9524"/>
        <w:tblBorders>
          <w:top w:val="none" w:color="FFFFFF" w:sz="0"/>
          <w:left w:val="none" w:color="FFFFFF" w:sz="0"/>
          <w:bottom w:val="single" w:color="1F5A75" w:sz="4"/>
          <w:right w:val="none" w:color="FFFFFF" w:sz="0"/>
          <w:insideH w:val="single" w:color="DCE6EB" w:sz="3"/>
          <w:insideV w:val="none" w:color="FFFFFF" w:sz="0"/>
        </w:tblBorders>
      </w:tblPr>
      <w:tblGrid>
        <w:gridCol w:w="3174"/>
        <w:gridCol w:w="3174"/>
        <w:gridCol w:w="3176"/>
      </w:tblGrid>
      <w:tr>
        <w:trPr>
          <w:cantSplit/>
        </w:trPr>
        <w:tc>
          <w:tcPr>
            <w:tcW w:type="dxa" w:w="9524"/>
            <w:gridSpan w:val="3"/>
            <w:tcBorders>
              <w:top w:val="none" w:color="FFFFFF" w:sz="0"/>
              <w:left w:val="none" w:color="FFFFFF" w:sz="0"/>
              <w:bottom w:val="none" w:color="FFFFFF" w:sz="0"/>
              <w:right w:val="none" w:color="FFFFFF" w:sz="0"/>
            </w:tcBorders>
            <w:tcMar>
              <w:top w:type="dxa" w:w="140"/>
              <w:left w:type="dxa" w:w="0"/>
              <w:bottom w:type="dxa" w:w="50"/>
              <w:right w:type="dxa" w:w="0"/>
            </w:tcMar>
          </w:tcPr>
          <w:p>
            <w:pPr>
              <w:spacing w:after="20" w:line="276"/>
            </w:pPr>
            <w:r>
              <w:rPr>
                <w:rFonts w:ascii="Aptos" w:cs="Aptos" w:eastAsia="Aptos" w:hAnsi="Aptos"/>
                <w:b/>
                <w:bCs/>
                <w:i w:val="false"/>
                <w:iCs w:val="false"/>
                <w:caps/>
                <w:color w:val="1F5A75"/>
                <w:sz w:val="18"/>
                <w:szCs w:val="18"/>
              </w:rPr>
              <w:t xml:space="preserve">EXHIBIT 7</w:t>
            </w:r>
          </w:p>
          <w:p>
            <w:pPr>
              <w:spacing w:after="0" w:line="288"/>
            </w:pPr>
            <w:r>
              <w:rPr>
                <w:rFonts w:ascii="Aptos Display" w:cs="Aptos Display" w:eastAsia="Aptos Display" w:hAnsi="Aptos Display"/>
                <w:b/>
                <w:bCs/>
                <w:i w:val="false"/>
                <w:iCs w:val="false"/>
                <w:caps w:val="false"/>
                <w:color w:val="1F2933"/>
                <w:sz w:val="25"/>
                <w:szCs w:val="25"/>
              </w:rPr>
              <w:t xml:space="preserve">Comparabilidad entre Estudios</w:t>
            </w:r>
          </w:p>
        </w:tc>
      </w:tr>
      <w:tr>
        <w:trPr>
          <w:cantSplit/>
          <w:tblHeader/>
          <w:trHeight w:val="320" w:hRule="atLeast"/>
        </w:trPr>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Eje</w:t>
            </w:r>
          </w:p>
        </w:tc>
        <w:tc>
          <w:tcPr>
            <w:tcW w:type="dxa" w:w="3174"/>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Evaluación</w:t>
            </w:r>
          </w:p>
        </w:tc>
        <w:tc>
          <w:tcPr>
            <w:tcW w:type="dxa" w:w="3176"/>
            <w:tcBorders>
              <w:top w:val="single" w:color="DCE6EB" w:sz="3"/>
              <w:left w:val="none" w:color="FFFFFF" w:sz="0"/>
              <w:bottom w:val="single" w:color="DCE6EB" w:sz="3"/>
              <w:right w:val="none" w:color="FFFFFF" w:sz="0"/>
            </w:tcBorders>
            <w:shd w:fill="EDF4F7" w:val="clear"/>
            <w:tcMar>
              <w:top w:type="dxa" w:w="40"/>
              <w:left w:type="dxa" w:w="80"/>
              <w:bottom w:type="dxa" w:w="40"/>
              <w:right w:type="dxa" w:w="80"/>
            </w:tcMar>
            <w:vAlign w:val="center"/>
          </w:tcPr>
          <w:p>
            <w:pPr>
              <w:spacing w:after="0" w:line="317"/>
            </w:pPr>
            <w:r>
              <w:rPr>
                <w:rFonts w:ascii="Aptos" w:cs="Aptos" w:eastAsia="Aptos" w:hAnsi="Aptos"/>
                <w:b/>
                <w:bCs/>
                <w:i w:val="false"/>
                <w:iCs w:val="false"/>
                <w:caps w:val="false"/>
                <w:color w:val="1F5A75"/>
                <w:sz w:val="18"/>
                <w:szCs w:val="18"/>
              </w:rPr>
              <w:t xml:space="preserve">Comentario</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1. Misma pregunta</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5 preguntas completamente distintas (MOP, intrusión, Clase III, mordida abierta, PBM).</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 Población similar</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Adultos, adolescentes, Clase III, mordida abierta — heterogéneo.</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3. Intervención comparable</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usan miniscrews pero en contextos y protocolos distintos.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4. Comparador comparable</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Cada estudio tiene comparadores propios.</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5. Desenlaces comparables</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Velocidad de cierre, reabsorción, avance maxilar, cambios dentoesqueléticos, OTM.</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6. Diseño alineado</w:t>
            </w:r>
          </w:p>
        </w:tc>
        <w:tc>
          <w:tcPr>
            <w:tcW w:type="dxa" w:w="3174"/>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No</w:t>
            </w:r>
          </w:p>
        </w:tc>
        <w:tc>
          <w:tcPr>
            <w:tcW w:type="dxa" w:w="3176"/>
            <w:tcBorders>
              <w:top w:val="single" w:color="DCE6EB" w:sz="3"/>
              <w:left w:val="none" w:color="FFFFFF" w:sz="0"/>
              <w:bottom w:val="single" w:color="DCE6EB" w:sz="3"/>
              <w:right w:val="none" w:color="FFFFFF" w:sz="0"/>
            </w:tcBorders>
            <w:shd w:fill="FFFFFF"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2 ECA, 1 RS, 1 retrospectivo, 1 overview.</w:t>
            </w:r>
          </w:p>
        </w:tc>
      </w:tr>
      <w:tr>
        <w:trPr>
          <w:cantSplit/>
          <w:tblHeader w:val="false"/>
          <w:trHeight w:val="320" w:hRule="atLeast"/>
        </w:trPr>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7. Finalidad similar</w:t>
            </w:r>
          </w:p>
        </w:tc>
        <w:tc>
          <w:tcPr>
            <w:tcW w:type="dxa" w:w="3174"/>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Parcial</w:t>
            </w:r>
          </w:p>
        </w:tc>
        <w:tc>
          <w:tcPr>
            <w:tcW w:type="dxa" w:w="3176"/>
            <w:tcBorders>
              <w:top w:val="single" w:color="DCE6EB" w:sz="3"/>
              <w:left w:val="none" w:color="FFFFFF" w:sz="0"/>
              <w:bottom w:val="single" w:color="DCE6EB" w:sz="3"/>
              <w:right w:val="none" w:color="FFFFFF" w:sz="0"/>
            </w:tcBorders>
            <w:shd w:fill="F8FAFB" w:val="clear"/>
            <w:tcMar>
              <w:top w:type="dxa" w:w="40"/>
              <w:left w:type="dxa" w:w="80"/>
              <w:bottom w:type="dxa" w:w="40"/>
              <w:right w:type="dxa" w:w="80"/>
            </w:tcMar>
            <w:vAlign w:val="center"/>
          </w:tcPr>
          <w:p>
            <w:pPr>
              <w:spacing w:after="0" w:line="317"/>
            </w:pPr>
            <w:r>
              <w:rPr>
                <w:rFonts w:ascii="Aptos" w:cs="Aptos" w:eastAsia="Aptos" w:hAnsi="Aptos"/>
                <w:b w:val="false"/>
                <w:bCs w:val="false"/>
                <w:i w:val="false"/>
                <w:iCs w:val="false"/>
                <w:caps w:val="false"/>
                <w:color w:val="1F2933"/>
                <w:sz w:val="21"/>
                <w:szCs w:val="21"/>
              </w:rPr>
              <w:t xml:space="preserve">Todos informan sobre uso clínico de miniscrews pero en contextos distintos.</w:t>
            </w:r>
          </w:p>
        </w:tc>
      </w:tr>
    </w:tbl>
    <w:p>
      <w:pPr>
        <w:spacing w:after="60" w:line="317"/>
        <w:ind w:left="100"/>
      </w:pPr>
      <w:r>
        <w:rPr>
          <w:rFonts w:ascii="Aptos" w:cs="Aptos" w:eastAsia="Aptos" w:hAnsi="Aptos"/>
          <w:b/>
          <w:bCs/>
          <w:i w:val="false"/>
          <w:iCs w:val="false"/>
          <w:caps w:val="false"/>
          <w:color w:val="1F5A75"/>
          <w:sz w:val="21"/>
          <w:szCs w:val="21"/>
        </w:rPr>
        <w:t xml:space="preserve">Nivel:  </w:t>
      </w:r>
      <w:r>
        <w:rPr>
          <w:rFonts w:ascii="Aptos" w:cs="Aptos" w:eastAsia="Aptos" w:hAnsi="Aptos"/>
          <w:b w:val="false"/>
          <w:bCs w:val="false"/>
          <w:i w:val="false"/>
          <w:iCs w:val="false"/>
          <w:caps w:val="false"/>
          <w:color w:val="1F2933"/>
          <w:sz w:val="21"/>
          <w:szCs w:val="21"/>
        </w:rPr>
        <w:t xml:space="preserve">No comparable</w:t>
      </w:r>
    </w:p>
    <w:p>
      <w:pPr>
        <w:spacing w:after="60" w:line="317"/>
        <w:ind w:left="100"/>
      </w:pPr>
      <w:r>
        <w:rPr>
          <w:rFonts w:ascii="Aptos" w:cs="Aptos" w:eastAsia="Aptos" w:hAnsi="Aptos"/>
          <w:b/>
          <w:bCs/>
          <w:i w:val="false"/>
          <w:iCs w:val="false"/>
          <w:caps w:val="false"/>
          <w:color w:val="1F5A75"/>
          <w:sz w:val="21"/>
          <w:szCs w:val="21"/>
        </w:rPr>
        <w:t xml:space="preserve">Justificación:  </w:t>
      </w:r>
      <w:r>
        <w:rPr>
          <w:rFonts w:ascii="Aptos" w:cs="Aptos" w:eastAsia="Aptos" w:hAnsi="Aptos"/>
          <w:b w:val="false"/>
          <w:bCs w:val="false"/>
          <w:i w:val="false"/>
          <w:iCs w:val="false"/>
          <w:caps w:val="false"/>
          <w:color w:val="1F2933"/>
          <w:sz w:val="21"/>
          <w:szCs w:val="21"/>
        </w:rPr>
        <w:t xml:space="preserve">0 ejes Sí; discordancia fuerte en 1+2+3. No procede comparación. Solo síntesis integradora.</w:t>
      </w:r>
    </w:p>
    <w:p>
      <w:pPr>
        <w:spacing w:after="120" w:line="317"/>
        <w:jc w:val="both"/>
      </w:pPr>
      <w:r>
        <w:rPr>
          <w:rFonts w:ascii="Aptos" w:cs="Aptos" w:eastAsia="Aptos" w:hAnsi="Aptos"/>
          <w:b w:val="false"/>
          <w:bCs w:val="false"/>
          <w:i w:val="false"/>
          <w:iCs w:val="false"/>
          <w:caps w:val="false"/>
          <w:color w:val="1F2933"/>
          <w:sz w:val="21"/>
          <w:szCs w:val="21"/>
        </w:rPr>
        <w:t xml:space="preserve">Cinco artículos con preguntas completamente distintas que no permiten comparación directa. Su aporte individual: la MOP mensual con miniscrews acelera el cierre de espacio modestamente (+0,9mm/3meses); miniscrews y utility arch son equivalentes en reabsorción radicular durante intrusión incisiva; el MAMP en Clase III ofrece ventajas sobre anclaje dentario; y la PBM no está indicada para uso rutinario ni para mejorar estabilidad de miniscrews. El Art.18 (mordida abierta) no es evaluable por falta de abstract.</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none" w:color="FFFFFF" w:sz="0"/>
              <w:bottom w:val="none" w:color="FFFFFF" w:sz="0"/>
              <w:right w:val="none" w:color="FFFFFF" w:sz="0"/>
            </w:tcBorders>
            <w:tcMar>
              <w:top w:type="dxa" w:w="40"/>
              <w:left w:type="dxa" w:w="0"/>
              <w:bottom w:type="dxa" w:w="40"/>
              <w:right w:type="dxa" w:w="0"/>
            </w:tcMar>
          </w:tcPr>
          <w:p>
            <w:pPr>
              <w:spacing w:after="60" w:before="160" w:line="288"/>
            </w:pPr>
            <w:r>
              <w:rPr>
                <w:rFonts w:ascii="Aptos" w:cs="Aptos" w:eastAsia="Aptos" w:hAnsi="Aptos"/>
                <w:b/>
                <w:bCs/>
                <w:i w:val="false"/>
                <w:iCs w:val="false"/>
                <w:caps w:val="false"/>
                <w:color w:val="1F2933"/>
                <w:sz w:val="23"/>
                <w:szCs w:val="23"/>
              </w:rPr>
              <w:t xml:space="preserve">Premortem</w:t>
            </w:r>
          </w:p>
          <w:p>
            <w:pPr>
              <w:spacing w:after="60" w:line="317"/>
              <w:ind w:left="100"/>
            </w:pPr>
            <w:r>
              <w:rPr>
                <w:rFonts w:ascii="Aptos" w:cs="Aptos" w:eastAsia="Aptos" w:hAnsi="Aptos"/>
                <w:b/>
                <w:bCs/>
                <w:i w:val="false"/>
                <w:iCs w:val="false"/>
                <w:caps w:val="false"/>
                <w:color w:val="1F5A75"/>
                <w:sz w:val="21"/>
                <w:szCs w:val="21"/>
              </w:rPr>
              <w:t xml:space="preserve">Riesgo principal:  </w:t>
            </w:r>
            <w:r>
              <w:rPr>
                <w:rFonts w:ascii="Aptos" w:cs="Aptos" w:eastAsia="Aptos" w:hAnsi="Aptos"/>
                <w:b w:val="false"/>
                <w:bCs w:val="false"/>
                <w:i w:val="false"/>
                <w:iCs w:val="false"/>
                <w:caps w:val="false"/>
                <w:color w:val="1F2933"/>
                <w:sz w:val="21"/>
                <w:szCs w:val="21"/>
              </w:rPr>
              <w:t xml:space="preserve">Que se sobreestimen los hallazgos de los ECAs por sus muestras pequeñas (10 y 7 por grupo).</w:t>
            </w:r>
          </w:p>
          <w:p>
            <w:pPr>
              <w:spacing w:after="60" w:line="317"/>
              <w:ind w:left="100"/>
            </w:pPr>
            <w:r>
              <w:rPr>
                <w:rFonts w:ascii="Aptos" w:cs="Aptos" w:eastAsia="Aptos" w:hAnsi="Aptos"/>
                <w:b/>
                <w:bCs/>
                <w:i w:val="false"/>
                <w:iCs w:val="false"/>
                <w:caps w:val="false"/>
                <w:color w:val="1F5A75"/>
                <w:sz w:val="21"/>
                <w:szCs w:val="21"/>
              </w:rPr>
              <w:t xml:space="preserve">Datos faltantes:  </w:t>
            </w:r>
            <w:r>
              <w:rPr>
                <w:rFonts w:ascii="Aptos" w:cs="Aptos" w:eastAsia="Aptos" w:hAnsi="Aptos"/>
                <w:b w:val="false"/>
                <w:bCs w:val="false"/>
                <w:i w:val="false"/>
                <w:iCs w:val="false"/>
                <w:caps w:val="false"/>
                <w:color w:val="1F2933"/>
                <w:sz w:val="21"/>
                <w:szCs w:val="21"/>
              </w:rPr>
              <w:t xml:space="preserve">Seguimiento a largo plazo de la MOP; eficacia (no solo efectos adversos) de mecánicas de intrusión; estabilidad del avance maxilar con MAMP.</w:t>
            </w:r>
          </w:p>
          <w:p>
            <w:pPr>
              <w:spacing w:after="60" w:line="317"/>
              <w:ind w:left="100"/>
            </w:pPr>
            <w:r>
              <w:rPr>
                <w:rFonts w:ascii="Aptos" w:cs="Aptos" w:eastAsia="Aptos" w:hAnsi="Aptos"/>
                <w:b/>
                <w:bCs/>
                <w:i w:val="false"/>
                <w:iCs w:val="false"/>
                <w:caps w:val="false"/>
                <w:color w:val="1F5A75"/>
                <w:sz w:val="21"/>
                <w:szCs w:val="21"/>
              </w:rPr>
              <w:t xml:space="preserve">Riesgo de sesgo:  </w:t>
            </w:r>
            <w:r>
              <w:rPr>
                <w:rFonts w:ascii="Aptos" w:cs="Aptos" w:eastAsia="Aptos" w:hAnsi="Aptos"/>
                <w:b w:val="false"/>
                <w:bCs w:val="false"/>
                <w:i w:val="false"/>
                <w:iCs w:val="false"/>
                <w:caps w:val="false"/>
                <w:color w:val="1F2933"/>
                <w:sz w:val="21"/>
                <w:szCs w:val="21"/>
              </w:rPr>
              <w:t xml:space="preserve">Los ECAs de este grupo tienen potencia estadística muy limitada; sus resultados deben interpretarse como señales, no como conclusiones firmes.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1F5A75" w:sz="16"/>
              <w:bottom w:val="none" w:color="FFFFFF" w:sz="0"/>
              <w:right w:val="none" w:color="FFFFFF" w:sz="0"/>
            </w:tcBorders>
            <w:shd w:fill="F4F8FA" w:val="clear"/>
            <w:tcMar>
              <w:top w:type="dxa" w:w="100"/>
              <w:left w:type="dxa" w:w="200"/>
              <w:bottom w:type="dxa" w:w="100"/>
              <w:right w:type="dxa" w:w="140"/>
            </w:tcMar>
          </w:tcPr>
          <w:p>
            <w:pPr>
              <w:spacing w:after="30" w:line="276"/>
            </w:pPr>
            <w:r>
              <w:rPr>
                <w:rFonts w:ascii="Aptos" w:cs="Aptos" w:eastAsia="Aptos" w:hAnsi="Aptos"/>
                <w:b/>
                <w:bCs/>
                <w:i w:val="false"/>
                <w:iCs w:val="false"/>
                <w:caps/>
                <w:color w:val="1F5A75"/>
                <w:sz w:val="18"/>
                <w:szCs w:val="18"/>
              </w:rPr>
              <w:t xml:space="preserve">IDEA CLAVE</w:t>
            </w:r>
          </w:p>
          <w:p>
            <w:pPr>
              <w:spacing w:after="0" w:line="288"/>
            </w:pPr>
            <w:r>
              <w:rPr>
                <w:rFonts w:ascii="Aptos Display" w:cs="Aptos Display" w:eastAsia="Aptos Display" w:hAnsi="Aptos Display"/>
                <w:b/>
                <w:bCs/>
                <w:i w:val="false"/>
                <w:iCs w:val="false"/>
                <w:caps w:val="false"/>
                <w:color w:val="1F2933"/>
                <w:sz w:val="25"/>
                <w:szCs w:val="25"/>
              </w:rPr>
              <w:t xml:space="preserve">La MOP con miniscrews es una herramienta complementaria modesta para acelerar cierre de espacio. El MAMP ofrece ventajas para protracción en Clase III. La PBM no tiene respaldo para uso rutinario. Las mecánicas de intrusión son equivalentes en efectos adversos.</w:t>
            </w:r>
          </w:p>
        </w:tc>
      </w:tr>
    </w:tbl>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C27803" w:sz="16"/>
              <w:bottom w:val="none" w:color="FFFFFF" w:sz="0"/>
              <w:right w:val="none" w:color="FFFFFF" w:sz="0"/>
            </w:tcBorders>
            <w:shd w:fill="F4F8FA" w:val="clear"/>
            <w:tcMar>
              <w:top w:type="dxa" w:w="100"/>
              <w:left w:type="dxa" w:w="200"/>
              <w:bottom w:type="dxa" w:w="100"/>
              <w:right w:type="dxa" w:w="140"/>
            </w:tcMar>
          </w:tcPr>
          <w:p>
            <w:pPr>
              <w:spacing w:after="40" w:line="276"/>
            </w:pPr>
            <w:r>
              <w:rPr>
                <w:rFonts w:ascii="Aptos" w:cs="Aptos" w:eastAsia="Aptos" w:hAnsi="Aptos"/>
                <w:b/>
                <w:bCs/>
                <w:i w:val="false"/>
                <w:iCs w:val="false"/>
                <w:caps/>
                <w:color w:val="5B6B79"/>
                <w:sz w:val="18"/>
                <w:szCs w:val="18"/>
              </w:rPr>
              <w:t xml:space="preserve">Semáforo del Grupo</w:t>
            </w:r>
          </w:p>
          <w:p>
            <w:pPr>
              <w:spacing w:after="0" w:line="317"/>
            </w:pPr>
            <w:r>
              <w:rPr>
                <w:rFonts w:ascii="Aptos" w:cs="Aptos" w:eastAsia="Aptos" w:hAnsi="Aptos"/>
                <w:b/>
                <w:bCs/>
                <w:color w:val="C27803"/>
                <w:sz w:val="24"/>
                <w:szCs w:val="24"/>
              </w:rPr>
              <w:t xml:space="preserve">● </w:t>
            </w:r>
            <w:r>
              <w:rPr>
                <w:rFonts w:ascii="Aptos" w:cs="Aptos" w:eastAsia="Aptos" w:hAnsi="Aptos"/>
                <w:b/>
                <w:bCs/>
                <w:i w:val="false"/>
                <w:iCs w:val="false"/>
                <w:caps w:val="false"/>
                <w:color w:val="C27803"/>
                <w:sz w:val="21"/>
                <w:szCs w:val="21"/>
              </w:rPr>
              <w:t xml:space="preserve">AMARILLO</w:t>
            </w:r>
            <w:r>
              <w:rPr>
                <w:rFonts w:ascii="Aptos" w:cs="Aptos" w:eastAsia="Aptos" w:hAnsi="Aptos"/>
                <w:b w:val="false"/>
                <w:bCs w:val="false"/>
                <w:i w:val="false"/>
                <w:iCs w:val="false"/>
                <w:caps w:val="false"/>
                <w:color w:val="5B6B79"/>
                <w:sz w:val="21"/>
                <w:szCs w:val="21"/>
              </w:rPr>
              <w:t xml:space="preserve">  —  Hallazgos orientativos con muestras pequeñas. Ninguno cambia la práctica de forma radical.</w:t>
            </w:r>
          </w:p>
        </w:tc>
      </w:tr>
    </w:tbl>
    <w:p>
      <w:r>
        <w:br w:type="page"/>
      </w:r>
    </w:p>
    <w:p>
      <w:pPr>
        <w:spacing w:after="60" w:before="300" w:line="276"/>
      </w:pPr>
      <w:r>
        <w:rPr>
          <w:rFonts w:ascii="Aptos" w:cs="Aptos" w:eastAsia="Aptos" w:hAnsi="Aptos"/>
          <w:b/>
          <w:bCs/>
          <w:i w:val="false"/>
          <w:iCs w:val="false"/>
          <w:caps/>
          <w:color w:val="1F5A75"/>
          <w:sz w:val="18"/>
          <w:szCs w:val="18"/>
        </w:rPr>
        <w:t xml:space="preserve">PREMORTEM GLOBAL</w:t>
      </w:r>
    </w:p>
    <w:p>
      <w:pPr>
        <w:pBdr>
          <w:bottom w:val="single" w:color="E6EDF1" w:sz="3" w:space="0"/>
        </w:pBdr>
        <w:spacing w:after="120"/>
      </w:pPr>
    </w:p>
    <w:p>
      <w:pPr>
        <w:spacing w:after="60" w:line="317"/>
        <w:ind w:left="100"/>
      </w:pPr>
      <w:r>
        <w:rPr>
          <w:rFonts w:ascii="Aptos" w:cs="Aptos" w:eastAsia="Aptos" w:hAnsi="Aptos"/>
          <w:b/>
          <w:bCs/>
          <w:i w:val="false"/>
          <w:iCs w:val="false"/>
          <w:caps w:val="false"/>
          <w:color w:val="1F5A75"/>
          <w:sz w:val="21"/>
          <w:szCs w:val="21"/>
        </w:rPr>
        <w:t xml:space="preserve">Riesgo principal:  </w:t>
      </w:r>
      <w:r>
        <w:rPr>
          <w:rFonts w:ascii="Aptos" w:cs="Aptos" w:eastAsia="Aptos" w:hAnsi="Aptos"/>
          <w:b w:val="false"/>
          <w:bCs w:val="false"/>
          <w:i w:val="false"/>
          <w:iCs w:val="false"/>
          <w:caps w:val="false"/>
          <w:color w:val="1F2933"/>
          <w:sz w:val="21"/>
          <w:szCs w:val="21"/>
        </w:rPr>
        <w:t xml:space="preserve">Que la predominancia de estudios con muestras pequeñas y seguimiento corto genere una falsa impresión de solidez cuando se presentan juntos 20 artículos. La acumulación de estudios débiles no equivale a evidencia fuerte.</w:t>
      </w:r>
    </w:p>
    <w:p>
      <w:pPr>
        <w:spacing w:after="60" w:line="317"/>
        <w:ind w:left="100"/>
      </w:pPr>
      <w:r>
        <w:rPr>
          <w:rFonts w:ascii="Aptos" w:cs="Aptos" w:eastAsia="Aptos" w:hAnsi="Aptos"/>
          <w:b/>
          <w:bCs/>
          <w:i w:val="false"/>
          <w:iCs w:val="false"/>
          <w:caps w:val="false"/>
          <w:color w:val="1F5A75"/>
          <w:sz w:val="21"/>
          <w:szCs w:val="21"/>
        </w:rPr>
        <w:t xml:space="preserve">Datos faltantes:  </w:t>
      </w:r>
      <w:r>
        <w:rPr>
          <w:rFonts w:ascii="Aptos" w:cs="Aptos" w:eastAsia="Aptos" w:hAnsi="Aptos"/>
          <w:b w:val="false"/>
          <w:bCs w:val="false"/>
          <w:i w:val="false"/>
          <w:iCs w:val="false"/>
          <w:caps w:val="false"/>
          <w:color w:val="1F2933"/>
          <w:sz w:val="21"/>
          <w:szCs w:val="21"/>
        </w:rPr>
        <w:t xml:space="preserve">ECAs multicéntricos con muestras &gt;100; seguimiento periodontal estandarizado ≥2 años para MARPE; validación clínica de umbrales FEA; datos de coste-efectividad de guías 3D; estudios en poblaciones europeas para anatomía CBCT.</w:t>
      </w:r>
    </w:p>
    <w:p>
      <w:pPr>
        <w:spacing w:after="60" w:line="317"/>
        <w:ind w:left="100"/>
      </w:pPr>
      <w:r>
        <w:rPr>
          <w:rFonts w:ascii="Aptos" w:cs="Aptos" w:eastAsia="Aptos" w:hAnsi="Aptos"/>
          <w:b/>
          <w:bCs/>
          <w:i w:val="false"/>
          <w:iCs w:val="false"/>
          <w:caps w:val="false"/>
          <w:color w:val="1F5A75"/>
          <w:sz w:val="21"/>
          <w:szCs w:val="21"/>
        </w:rPr>
        <w:t xml:space="preserve">Sesgos del análisis:  </w:t>
      </w:r>
      <w:r>
        <w:rPr>
          <w:rFonts w:ascii="Aptos" w:cs="Aptos" w:eastAsia="Aptos" w:hAnsi="Aptos"/>
          <w:b w:val="false"/>
          <w:bCs w:val="false"/>
          <w:i w:val="false"/>
          <w:iCs w:val="false"/>
          <w:caps w:val="false"/>
          <w:color w:val="1F2933"/>
          <w:sz w:val="21"/>
          <w:szCs w:val="21"/>
        </w:rPr>
        <w:t xml:space="preserve">Posible sesgo de recencia (artículos 2025-2026 percibidos como más relevantes); sesgo de novedad tecnológica (RA sobrevalorada vs evidencia real); sesgo de volumen (grupo MARPE con 5 artículos puede dominar conclusiones desproporcionadamente).</w:t>
      </w:r>
    </w:p>
    <w:p>
      <w:pPr>
        <w:spacing w:after="100" w:before="1800" w:line="252"/>
      </w:pPr>
      <w:r>
        <w:rPr>
          <w:rFonts w:ascii="Aptos Display" w:cs="Aptos Display" w:eastAsia="Aptos Display" w:hAnsi="Aptos Display"/>
          <w:b/>
          <w:bCs/>
          <w:i w:val="false"/>
          <w:iCs w:val="false"/>
          <w:caps w:val="false"/>
          <w:color w:val="E6EDF1"/>
          <w:sz w:val="80"/>
          <w:szCs w:val="80"/>
        </w:rPr>
        <w:t xml:space="preserve">07</w:t>
      </w:r>
    </w:p>
    <w:p>
      <w:pPr>
        <w:spacing w:after="60" w:line="276"/>
      </w:pPr>
      <w:r>
        <w:rPr>
          <w:rFonts w:ascii="Aptos" w:cs="Aptos" w:eastAsia="Aptos" w:hAnsi="Aptos"/>
          <w:b/>
          <w:bCs/>
          <w:i w:val="false"/>
          <w:iCs w:val="false"/>
          <w:caps/>
          <w:color w:val="1F5A75"/>
          <w:sz w:val="18"/>
          <w:szCs w:val="18"/>
        </w:rPr>
        <w:t xml:space="preserve">SECCIÓN 07</w:t>
      </w:r>
    </w:p>
    <w:p>
      <w:pPr>
        <w:pBdr>
          <w:bottom w:val="single" w:color="1F5A75" w:sz="6" w:space="0"/>
        </w:pBdr>
        <w:spacing w:after="160"/>
      </w:pPr>
    </w:p>
    <w:p>
      <w:pPr>
        <w:pStyle w:val="Heading1"/>
        <w:keepNext/>
        <w:keepLines/>
        <w:spacing w:after="160" w:line="252"/>
      </w:pPr>
      <w:r>
        <w:rPr>
          <w:rFonts w:ascii="Aptos Display" w:cs="Aptos Display" w:eastAsia="Aptos Display" w:hAnsi="Aptos Display"/>
          <w:b/>
          <w:bCs/>
          <w:i w:val="false"/>
          <w:iCs w:val="false"/>
          <w:caps w:val="false"/>
          <w:color w:val="1F2933"/>
          <w:sz w:val="38"/>
          <w:szCs w:val="38"/>
        </w:rPr>
        <w:t xml:space="preserve">Conclusiones Clínicas Globales</w:t>
      </w:r>
    </w:p>
    <w:p>
      <w:pPr>
        <w:spacing w:after="0" w:line="312"/>
      </w:pPr>
      <w:r>
        <w:rPr>
          <w:rFonts w:ascii="Aptos" w:cs="Aptos" w:eastAsia="Aptos" w:hAnsi="Aptos"/>
          <w:b w:val="false"/>
          <w:bCs w:val="false"/>
          <w:i/>
          <w:iCs/>
          <w:caps w:val="false"/>
          <w:color w:val="5B6B79"/>
          <w:sz w:val="21"/>
          <w:szCs w:val="21"/>
        </w:rPr>
        <w:t xml:space="preserve">Hallazgos de alta relevancia, precauciones y brechas de evidencia</w:t>
      </w:r>
    </w:p>
    <w:p>
      <w:r>
        <w:br w:type="page"/>
      </w:r>
    </w:p>
    <w:p>
      <w:pPr>
        <w:spacing w:after="30" w:before="120" w:line="276"/>
      </w:pPr>
      <w:r>
        <w:rPr>
          <w:rFonts w:ascii="Aptos" w:cs="Aptos" w:eastAsia="Aptos" w:hAnsi="Aptos"/>
          <w:b/>
          <w:bCs/>
          <w:i w:val="false"/>
          <w:iCs w:val="false"/>
          <w:caps/>
          <w:color w:val="1F5A75"/>
          <w:sz w:val="18"/>
          <w:szCs w:val="18"/>
        </w:rPr>
        <w:t xml:space="preserve">ALTA RELEVANCIA</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Las guías 3D impresas para TAD en buccal shelf mejoran precisión y seguridad vs inserción manual (ECA, nivel moderado).</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El CBCT es obligatorio antes de insertar miniscrews palatinos en constricción maxilar esquelética (experimental, nivel moderado).</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El MARPE es eficaz para corrección transversal en adultos jóvenes pero su éxito cae significativamente &gt;30 años.</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Las complicaciones periodontales del MARPE son frecuentes y requieren monitoreo activo integrado (CBCT + periodontal).</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El MARPE no debe indicarse exclusivamente para mejorar vía aérea — evidencia insuficiente.</w:t>
      </w:r>
    </w:p>
    <w:p>
      <w:pPr>
        <w:spacing w:after="30" w:before="120" w:line="276"/>
      </w:pPr>
      <w:r>
        <w:rPr>
          <w:rFonts w:ascii="Aptos" w:cs="Aptos" w:eastAsia="Aptos" w:hAnsi="Aptos"/>
          <w:b/>
          <w:bCs/>
          <w:i w:val="false"/>
          <w:iCs w:val="false"/>
          <w:caps/>
          <w:color w:val="1F5A75"/>
          <w:sz w:val="18"/>
          <w:szCs w:val="18"/>
        </w:rPr>
        <w:t xml:space="preserve">PROMETEDOR PERO INCIERTO</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La RA markerless para miniscrews es viable pero sin evidencia cuantitativa (n=3).</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La MOP mensual acelera cierre de espacio en ~0,9mm/3 meses (ECA pequeño, seguimiento corto).</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El MAMP ofrece ventajas sobre anclaje dentario en Clase III en crecimiento (RS, certeza moderada-baja).</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El MSE (4 miniscrews) parece superior al FAVEX (6) en resultados esqueléticos (ECA n=28).</w:t>
      </w:r>
    </w:p>
    <w:p>
      <w:pPr>
        <w:spacing w:after="30" w:before="120" w:line="276"/>
      </w:pPr>
      <w:r>
        <w:rPr>
          <w:rFonts w:ascii="Aptos" w:cs="Aptos" w:eastAsia="Aptos" w:hAnsi="Aptos"/>
          <w:b/>
          <w:bCs/>
          <w:i w:val="false"/>
          <w:iCs w:val="false"/>
          <w:caps/>
          <w:color w:val="1F5A75"/>
          <w:sz w:val="18"/>
          <w:szCs w:val="18"/>
        </w:rPr>
        <w:t xml:space="preserve">PRECAUCIONES PRINCIPALES</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La mayoría de ECAs tienen muestras &lt;30 pacientes — potencia estadística muy limitada.</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Ningún estudio tiene seguimiento estandarizado &gt;12 meses para resultados periodontales.</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Los estudios FEA no tienen validación clínica directa.</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Los datos anatómicos CBCT proceden mayoritariamente de poblaciones indias — generalización limitada.</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Todos los inputs son abstracts: la profundidad del análisis de sesgos está inherentemente limitada.</w:t>
      </w:r>
    </w:p>
    <w:p>
      <w:pPr>
        <w:spacing w:after="30" w:before="120" w:line="276"/>
      </w:pPr>
      <w:r>
        <w:rPr>
          <w:rFonts w:ascii="Aptos" w:cs="Aptos" w:eastAsia="Aptos" w:hAnsi="Aptos"/>
          <w:b/>
          <w:bCs/>
          <w:i w:val="false"/>
          <w:iCs w:val="false"/>
          <w:caps/>
          <w:color w:val="1F5A75"/>
          <w:sz w:val="18"/>
          <w:szCs w:val="18"/>
        </w:rPr>
        <w:t xml:space="preserve">BRECHAS DE EVIDENCIA</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ECAs multicéntricos con n&gt;100 para guías 3D en múltiples localizaciones.</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Seguimiento periodontal estandarizado ≥2 años para MARPE.</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Validación clínica de umbrales de fuerza FEA.</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Estudios funcionales de vía aérea (no solo dimensionales) tras MARPE.</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Datos de coste-efectividad de tecnologías de guiado digital.</w:t>
      </w:r>
    </w:p>
    <w:p>
      <w:pPr>
        <w:pStyle w:val="ListParagraph"/>
        <w:numPr>
          <w:ilvl w:val="0"/>
          <w:numId w:val="3"/>
        </w:numPr>
        <w:spacing w:after="60" w:line="317"/>
      </w:pPr>
      <w:r>
        <w:rPr>
          <w:rFonts w:ascii="Aptos" w:cs="Aptos" w:eastAsia="Aptos" w:hAnsi="Aptos"/>
          <w:b w:val="false"/>
          <w:bCs w:val="false"/>
          <w:i w:val="false"/>
          <w:iCs w:val="false"/>
          <w:caps w:val="false"/>
          <w:color w:val="1F2933"/>
          <w:sz w:val="21"/>
          <w:szCs w:val="21"/>
        </w:rPr>
        <w:t xml:space="preserve">Estudios anatómicos CBCT en poblaciones europeas.</w:t>
      </w:r>
    </w:p>
    <w:tbl>
      <w:tblPr>
        <w:tblW w:type="dxa" w:w="9524"/>
        <w:tblBorders>
          <w:top w:val="none" w:color="FFFFFF" w:sz="0"/>
          <w:left w:val="none" w:color="FFFFFF" w:sz="0"/>
          <w:bottom w:val="none" w:color="FFFFFF" w:sz="0"/>
          <w:right w:val="none" w:color="FFFFFF" w:sz="0"/>
          <w:insideH w:val="none" w:color="FFFFFF" w:sz="0"/>
          <w:insideV w:val="none" w:color="FFFFFF" w:sz="0"/>
        </w:tblBorders>
      </w:tblPr>
      <w:tblGrid>
        <w:gridCol w:w="9524"/>
      </w:tblGrid>
      <w:tr>
        <w:trPr>
          <w:cantSplit/>
        </w:trPr>
        <w:tc>
          <w:tcPr>
            <w:tcW w:type="dxa" w:w="9524"/>
            <w:tcBorders>
              <w:top w:val="none" w:color="FFFFFF" w:sz="0"/>
              <w:left w:val="single" w:color="1F5A75" w:sz="16"/>
              <w:bottom w:val="none" w:color="FFFFFF" w:sz="0"/>
              <w:right w:val="none" w:color="FFFFFF" w:sz="0"/>
            </w:tcBorders>
            <w:shd w:fill="F4F8FA" w:val="clear"/>
            <w:tcMar>
              <w:top w:type="dxa" w:w="100"/>
              <w:left w:type="dxa" w:w="200"/>
              <w:bottom w:type="dxa" w:w="100"/>
              <w:right w:type="dxa" w:w="140"/>
            </w:tcMar>
          </w:tcPr>
          <w:p>
            <w:pPr>
              <w:spacing w:after="30" w:line="276"/>
            </w:pPr>
            <w:r>
              <w:rPr>
                <w:rFonts w:ascii="Aptos" w:cs="Aptos" w:eastAsia="Aptos" w:hAnsi="Aptos"/>
                <w:b/>
                <w:bCs/>
                <w:i w:val="false"/>
                <w:iCs w:val="false"/>
                <w:caps/>
                <w:color w:val="1F5A75"/>
                <w:sz w:val="18"/>
                <w:szCs w:val="18"/>
              </w:rPr>
              <w:t xml:space="preserve">IDEA CLAVE</w:t>
            </w:r>
          </w:p>
          <w:p>
            <w:pPr>
              <w:spacing w:after="0" w:line="288"/>
            </w:pPr>
            <w:r>
              <w:rPr>
                <w:rFonts w:ascii="Aptos Display" w:cs="Aptos Display" w:eastAsia="Aptos Display" w:hAnsi="Aptos Display"/>
                <w:b/>
                <w:bCs/>
                <w:i w:val="false"/>
                <w:iCs w:val="false"/>
                <w:caps w:val="false"/>
                <w:color w:val="1F2933"/>
                <w:sz w:val="25"/>
                <w:szCs w:val="25"/>
              </w:rPr>
              <w:t xml:space="preserve">El periodo enero 2025 – abril 2026 consolida el miniscrew como pilar del anclaje esquelético con dos avances tangibles: la incorporación de guías 3D impresas (con respaldo ECA) que mejoran seguridad de inserción, y la delimitación más precisa de los límites del MARPE (edad, complicaciones, vía aérea). La RA markerless es una señal tecnológica temprana sin madurez clínica. La biomecánica FEA aporta marco teórico sin traducción directa. La evidencia global es de calidad baja a moderada, con muestras pequeñas y seguimiento corto como constante. Para el clínico: las guías 3D en zonas de riesgo y el CBCT previo a miniscrews palatinos en constricción son los hallazgos más directamente accionables.</w:t>
            </w:r>
          </w:p>
        </w:tc>
      </w:tr>
    </w:tbl>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60"/>
      </w:pPr>
      <w:rPr>
        <w:rFonts w:ascii="Aptos" w:cs="Aptos" w:eastAsia="Aptos" w:hAnsi="Aptos"/>
        <w:color w:val="1F5A75"/>
        <w:sz w:val="21"/>
        <w:szCs w:val="21"/>
      </w:rPr>
    </w:lvl>
  </w:abstractNum>
  <w:abstractNum w:abstractNumId="3" w15:restartNumberingAfterBreak="0">
    <w:multiLevelType w:val="hybridMultilevel"/>
    <w:lvl w:ilvl="0" w15:tentative="1">
      <w:start w:val="1"/>
      <w:numFmt w:val="decimal"/>
      <w:lvlText w:val="%1."/>
      <w:lvlJc w:val="left"/>
      <w:pPr>
        <w:ind w:left="540" w:hanging="260"/>
      </w:pPr>
      <w:rPr>
        <w:rFonts w:ascii="Aptos" w:cs="Aptos" w:eastAsia="Aptos" w:hAnsi="Aptos"/>
        <w:b/>
        <w:bCs/>
        <w:color w:val="1F5A75"/>
        <w:sz w:val="21"/>
        <w:szCs w:val="21"/>
      </w:r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ptos" w:cs="Aptos" w:eastAsia="Aptos" w:hAnsi="Aptos"/>
        <w:color w:val="1F2933"/>
        <w:sz w:val="21"/>
        <w:szCs w:val="21"/>
      </w:rPr>
    </w:rPrDefault>
    <w:pPrDefault>
      <w:pPr>
        <w:spacing w:line="317"/>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keepNext/>
      <w:keepLines/>
      <w:spacing w:after="160" w:before="360" w:line="252"/>
      <w:outlineLvl w:val="0"/>
    </w:pPr>
    <w:rPr>
      <w:rFonts w:ascii="Aptos Display" w:cs="Aptos Display" w:eastAsia="Aptos Display" w:hAnsi="Aptos Display"/>
      <w:b/>
      <w:bCs/>
      <w:color w:val="1F2933"/>
      <w:sz w:val="38"/>
      <w:szCs w:val="38"/>
    </w:rPr>
  </w:style>
  <w:style w:type="paragraph" w:styleId="Heading2">
    <w:name w:val="Heading 2"/>
    <w:basedOn w:val="Normal"/>
    <w:next w:val="Normal"/>
    <w:qFormat/>
    <w:pPr>
      <w:keepNext/>
      <w:keepLines/>
      <w:spacing w:after="80" w:before="300" w:line="288"/>
      <w:outlineLvl w:val="1"/>
    </w:pPr>
    <w:rPr>
      <w:rFonts w:ascii="Aptos Display" w:cs="Aptos Display" w:eastAsia="Aptos Display" w:hAnsi="Aptos Display"/>
      <w:b/>
      <w:bCs/>
      <w:color w:val="1F2933"/>
      <w:sz w:val="24"/>
      <w:szCs w:val="24"/>
    </w:rPr>
  </w:style>
  <w:style w:type="paragraph" w:styleId="Heading3">
    <w:name w:val="Heading 3"/>
    <w:basedOn w:val="Normal"/>
    <w:next w:val="Normal"/>
    <w:qFormat/>
    <w:pPr>
      <w:keepNext/>
      <w:keepLines/>
      <w:spacing w:after="60" w:before="160" w:line="288"/>
      <w:outlineLvl w:val="2"/>
    </w:pPr>
    <w:rPr>
      <w:rFonts w:ascii="Aptos" w:cs="Aptos" w:eastAsia="Aptos" w:hAnsi="Aptos"/>
      <w:b/>
      <w:bCs/>
      <w:color w:val="1F2933"/>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2026-04-12T22:50:50.763Z</dcterms:created>
  <dcterms:modified xsi:type="dcterms:W3CDTF">2026-04-12T22:50:50.763Z</dcterms:modified>
</cp:coreProperties>
</file>

<file path=docProps/custom.xml><?xml version="1.0" encoding="utf-8"?>
<Properties xmlns="http://schemas.openxmlformats.org/officeDocument/2006/custom-properties" xmlns:vt="http://schemas.openxmlformats.org/officeDocument/2006/docPropsVTypes"/>
</file>